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индивидуальному предпринимателю Несмиянову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Александру Павловичу, ИНН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743200019680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321745600033501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ekb@nanana4ac.ru.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Arial"/>
    </w:rPr>
  </w:style>
  <w:style w:type="paragraph" w:styleId="13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MosIAZ33gSOUuBD/nsAJw3Y/w==">AMUW2mWX773Yq8MguvvgfKFSix13Aq+YYgCXfSJkQSCk4bkLe2kHNiAx5BwkR1rU2j41rPMh0Ry+vj7xaEH1RHMCsE+AwtWbqdP2qkDoIufTxRU60wOiqcMYCyvlJoKlbXWnMoPMVgei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2021-03-15T08:05:00Z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