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40" w:before="240" w:line="276"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редакция от </w:t>
      </w:r>
      <w:r w:rsidDel="00000000" w:rsidR="00000000" w:rsidRPr="00000000">
        <w:rPr>
          <w:rFonts w:ascii="Times New Roman" w:cs="Times New Roman" w:eastAsia="Times New Roman" w:hAnsi="Times New Roman"/>
          <w:sz w:val="32"/>
          <w:szCs w:val="32"/>
          <w:rtl w:val="0"/>
        </w:rPr>
        <w:t xml:space="preserve">01</w:t>
      </w:r>
      <w:r w:rsidDel="00000000" w:rsidR="00000000" w:rsidRPr="00000000">
        <w:rPr>
          <w:rFonts w:ascii="Times New Roman" w:cs="Times New Roman" w:eastAsia="Times New Roman" w:hAnsi="Times New Roman"/>
          <w:color w:val="000000"/>
          <w:sz w:val="32"/>
          <w:szCs w:val="32"/>
          <w:rtl w:val="0"/>
        </w:rPr>
        <w:t xml:space="preserve">.08.202</w:t>
      </w:r>
      <w:r w:rsidDel="00000000" w:rsidR="00000000" w:rsidRPr="00000000">
        <w:rPr>
          <w:rFonts w:ascii="Times New Roman" w:cs="Times New Roman" w:eastAsia="Times New Roman" w:hAnsi="Times New Roman"/>
          <w:sz w:val="32"/>
          <w:szCs w:val="32"/>
          <w:rtl w:val="0"/>
        </w:rPr>
        <w:t xml:space="preserve">1</w:t>
      </w:r>
      <w:r w:rsidDel="00000000" w:rsidR="00000000" w:rsidRPr="00000000">
        <w:rPr>
          <w:rFonts w:ascii="Times New Roman" w:cs="Times New Roman" w:eastAsia="Times New Roman" w:hAnsi="Times New Roman"/>
          <w:color w:val="000000"/>
          <w:sz w:val="32"/>
          <w:szCs w:val="32"/>
          <w:rtl w:val="0"/>
        </w:rPr>
        <w:t xml:space="preserve">г.</w:t>
      </w:r>
    </w:p>
    <w:p w:rsidR="00000000" w:rsidDel="00000000" w:rsidP="00000000" w:rsidRDefault="00000000" w:rsidRPr="00000000" w14:paraId="00000003">
      <w:pPr>
        <w:shd w:fill="ffffff" w:val="clear"/>
        <w:spacing w:line="276" w:lineRule="auto"/>
        <w:ind w:left="142" w:firstLine="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(ОГРНИП 320861700042044, ИНН 543851676707)</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(ОГРНИП 320861700042044, ИНН 543851676707</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2"/>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628011, ХМАО-Югра, г.Ханты-Мансийск, ул. Энгельса д.3, кв. 65.</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Ханты-Мансийск,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Ханты-Мансийск   (пригород)  дополнительно оплачивается такси.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3">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4">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5">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3"/>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Васильева Екатерина Евгеньевна, Юридический адрес: 628011, ХМАО-Югра, г.Ханты-Мансийск, ул. Энгельса д.3, кв. 65, Почтовый адрес: 628011, ХМАО-Югра, г.Ханты-Мансийск, ул. Энгельса д.3, кв. 65, ОГРНИП  320861700042044, ИНН 543851676707, Банковские реквизиты: р/с 40802810513500007766, Филиал Точка Публичного акционерного общества Банка «Финансовая Корпорация Открытие», БИК 044525999, к/с 30101810845250000999, Тел. 8-952-720-10-00.</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shd w:fill="ffffff" w:val="clear"/>
        <w:ind w:left="340" w:firstLine="86.00000000000001"/>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1">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5">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6">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руб.</w:t>
            </w:r>
          </w:p>
        </w:tc>
      </w:tr>
    </w:tbl>
    <w:p w:rsidR="00000000" w:rsidDel="00000000" w:rsidP="00000000" w:rsidRDefault="00000000" w:rsidRPr="00000000" w14:paraId="000000CA">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D">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E">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0">
            <w:pPr>
              <w:widowControl w:val="1"/>
              <w:numPr>
                <w:ilvl w:val="0"/>
                <w:numId w:val="4"/>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D2">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D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7800 руб. </w:t>
            </w:r>
          </w:p>
          <w:p w:rsidR="00000000" w:rsidDel="00000000" w:rsidP="00000000" w:rsidRDefault="00000000" w:rsidRPr="00000000" w14:paraId="000000D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390)</w:t>
            </w:r>
            <w:r w:rsidDel="00000000" w:rsidR="00000000" w:rsidRPr="00000000">
              <w:rPr>
                <w:rtl w:val="0"/>
              </w:rPr>
            </w:r>
          </w:p>
        </w:tc>
      </w:tr>
    </w:tbl>
    <w:p w:rsidR="00000000" w:rsidDel="00000000" w:rsidP="00000000" w:rsidRDefault="00000000" w:rsidRPr="00000000" w14:paraId="000000DC">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F">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E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7200 руб. </w:t>
            </w:r>
          </w:p>
          <w:p w:rsidR="00000000" w:rsidDel="00000000" w:rsidP="00000000" w:rsidRDefault="00000000" w:rsidRPr="00000000" w14:paraId="000000E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360)</w:t>
            </w:r>
          </w:p>
        </w:tc>
      </w:tr>
    </w:tbl>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9">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A">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B">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0">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3">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C">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E">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1">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4">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7">
      <w:pPr>
        <w:widowControl w:val="1"/>
        <w:shd w:fill="ffffff"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9">
      <w:pPr>
        <w:widowControl w:val="1"/>
        <w:spacing w:after="200" w:line="276" w:lineRule="auto"/>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Дата с  27.12  по 08.01</w:t>
      </w:r>
    </w:p>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w:t>
            </w:r>
          </w:p>
        </w:tc>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750</w:t>
            </w:r>
          </w:p>
        </w:tc>
      </w:tr>
    </w:tbl>
    <w:p w:rsidR="00000000" w:rsidDel="00000000" w:rsidP="00000000" w:rsidRDefault="00000000" w:rsidRPr="00000000" w14:paraId="0000011F">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0">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c>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r>
    </w:tbl>
    <w:p w:rsidR="00000000" w:rsidDel="00000000" w:rsidP="00000000" w:rsidRDefault="00000000" w:rsidRPr="00000000" w14:paraId="00000125">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w:t>
            </w:r>
          </w:p>
        </w:tc>
        <w:tc>
          <w:tcPr/>
          <w:p w:rsidR="00000000" w:rsidDel="00000000" w:rsidP="00000000" w:rsidRDefault="00000000" w:rsidRPr="00000000" w14:paraId="0000012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1600</w:t>
            </w:r>
          </w:p>
        </w:tc>
      </w:tr>
    </w:tbl>
    <w:p w:rsidR="00000000" w:rsidDel="00000000" w:rsidP="00000000" w:rsidRDefault="00000000" w:rsidRPr="00000000" w14:paraId="0000012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E">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F">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0">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1">
      <w:pPr>
        <w:widowControl w:val="1"/>
        <w:shd w:fill="ffffff" w:val="clear"/>
        <w:ind w:left="330" w:firstLine="75"/>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5gffxgU7oWUag6v8WzqYGxfhpg==">AMUW2mWV5tssfY/xJ97Xmij9bNkXsSHNjYJSco1R16phD46DFvlq0fhdKo8rvTtFusc0pBanNtte4pNMchMvu3fLT+3W7zHjnbWJUXIEkhELaAT5y7sHrWpVS+Ghhru7mQZyGIZqL3pC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