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40" w:before="240" w:line="276" w:lineRule="auto"/>
        <w:jc w:val="center"/>
        <w:rPr/>
      </w:pPr>
      <w:r w:rsidDel="00000000" w:rsidR="00000000" w:rsidRPr="00000000">
        <w:rPr>
          <w:rtl w:val="0"/>
        </w:rPr>
      </w:r>
    </w:p>
    <w:p w:rsidR="00000000" w:rsidDel="00000000" w:rsidP="00000000" w:rsidRDefault="00000000" w:rsidRPr="00000000" w14:paraId="00000002">
      <w:pPr>
        <w:keepNext w:val="1"/>
        <w:keepLines w:val="1"/>
        <w:numPr>
          <w:ilvl w:val="3"/>
          <w:numId w:val="2"/>
        </w:numPr>
        <w:pBdr>
          <w:top w:space="0" w:sz="0" w:val="nil"/>
          <w:left w:space="0" w:sz="0" w:val="nil"/>
          <w:bottom w:space="0" w:sz="0" w:val="nil"/>
          <w:right w:space="0" w:sz="0" w:val="nil"/>
          <w:between w:space="0" w:sz="0" w:val="nil"/>
        </w:pBd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11.05</w:t>
      </w:r>
      <w:r w:rsidDel="00000000" w:rsidR="00000000" w:rsidRPr="00000000">
        <w:rPr>
          <w:rFonts w:ascii="Times New Roman" w:cs="Times New Roman" w:eastAsia="Times New Roman" w:hAnsi="Times New Roman"/>
          <w:color w:val="000000"/>
          <w:sz w:val="32"/>
          <w:szCs w:val="32"/>
          <w:rtl w:val="0"/>
        </w:rPr>
        <w:t xml:space="preserve">.202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ffffff" w:val="clear"/>
        <w:spacing w:line="276" w:lineRule="auto"/>
        <w:ind w:left="502" w:hanging="36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Общие положения</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spacing w:line="276" w:lineRule="auto"/>
        <w:ind w:left="502"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ind w:left="142"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Москвичева Полина Владиславовна</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bookmarkStart w:colFirst="0" w:colLast="0" w:name="_heading=h.30j0zll" w:id="0"/>
      <w:bookmarkEnd w:id="0"/>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Москвичева Полина Владиславовна (ОГРНИП 321723200032130, ИНН720500701920)</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 ИП Москвичева Полина Владиславовна</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 ИП Москвичева Полина Владиславовна (ОГРНИП 321723200032130, ИНН720500701920),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3.Предмет оферты</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ФИО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город проживания</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дата Заказа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 ИП Москвичева Полина Владиславовна</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 ИП Москвичева Полина Владиславовна</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 ИП Москвичева Полина Владиславовна </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5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line="276"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4">
      <w:pPr>
        <w:numPr>
          <w:ilvl w:val="1"/>
          <w:numId w:val="5"/>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7.Оплата услуг</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627753, Тюменская обл., г. Ишим, ул. Шаронова 15, кв. 23.</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8.Транспорт</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Курган,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Курган   (пригород)  дополнительно оплачивается такси.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9.Ответственность</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3">
      <w:pPr>
        <w:numPr>
          <w:ilvl w:val="1"/>
          <w:numId w:val="4"/>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4">
      <w:pPr>
        <w:numPr>
          <w:ilvl w:val="1"/>
          <w:numId w:val="4"/>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5">
      <w:pPr>
        <w:numPr>
          <w:ilvl w:val="1"/>
          <w:numId w:val="4"/>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6">
      <w:pPr>
        <w:numPr>
          <w:ilvl w:val="1"/>
          <w:numId w:val="4"/>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w:t>
      </w:r>
      <w:r w:rsidDel="00000000" w:rsidR="00000000" w:rsidRPr="00000000">
        <w:rPr>
          <w:rFonts w:ascii="Times New Roman" w:cs="Times New Roman" w:eastAsia="Times New Roman" w:hAnsi="Times New Roman"/>
          <w:sz w:val="28"/>
          <w:szCs w:val="28"/>
          <w:rtl w:val="0"/>
        </w:rPr>
        <w:t xml:space="preserve">досудебный</w:t>
      </w:r>
      <w:r w:rsidDel="00000000" w:rsidR="00000000" w:rsidRPr="00000000">
        <w:rPr>
          <w:rFonts w:ascii="Times New Roman" w:cs="Times New Roman" w:eastAsia="Times New Roman" w:hAnsi="Times New Roman"/>
          <w:color w:val="000000"/>
          <w:sz w:val="28"/>
          <w:szCs w:val="28"/>
          <w:rtl w:val="0"/>
        </w:rPr>
        <w:t xml:space="preserve">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Москвичева Полина Владиславовна., Юридический адрес:</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627753, Тюменская обл., г. Ишим, ул. Шаронова 15, кв. 23 , Почтовый адрес</w:t>
      </w:r>
      <w:r w:rsidDel="00000000" w:rsidR="00000000" w:rsidRPr="00000000">
        <w:rPr>
          <w:rtl w:val="0"/>
        </w:rPr>
        <w:t xml:space="preserve">:</w:t>
      </w:r>
      <w:r w:rsidDel="00000000" w:rsidR="00000000" w:rsidRPr="00000000">
        <w:rPr>
          <w:rFonts w:ascii="Times New Roman" w:cs="Times New Roman" w:eastAsia="Times New Roman" w:hAnsi="Times New Roman"/>
          <w:sz w:val="28"/>
          <w:szCs w:val="28"/>
          <w:rtl w:val="0"/>
        </w:rPr>
        <w:t xml:space="preserve">627753, Тюменская обл., г. Ишим, ул. Шаронова 15, кв. 23, ОГРНИП 321723200032130, ИНН720500701920, Банковские реквизиты: р/с</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40802810400002162471 , Филиал АО «Тинкофф банк», БИК 044525974, к/с</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30101810145250000974 , Тел. 8-950 494 1109</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B">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C">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D">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E">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0">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1">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2">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3">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4">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5">
      <w:pPr>
        <w:widowControl w:val="1"/>
        <w:spacing w:line="276" w:lineRule="auto"/>
        <w:rPr>
          <w:rFonts w:ascii="Times New Roman" w:cs="Times New Roman" w:eastAsia="Times New Roman" w:hAnsi="Times New Roman"/>
          <w:color w:val="000000"/>
          <w:sz w:val="28"/>
          <w:szCs w:val="28"/>
        </w:rPr>
      </w:pPr>
      <w:bookmarkStart w:colFirst="0" w:colLast="0" w:name="_heading=h.1fob9te" w:id="1"/>
      <w:bookmarkEnd w:id="1"/>
      <w:r w:rsidDel="00000000" w:rsidR="00000000" w:rsidRPr="00000000">
        <w:rPr>
          <w:rtl w:val="0"/>
        </w:rPr>
      </w:r>
    </w:p>
    <w:p w:rsidR="00000000" w:rsidDel="00000000" w:rsidP="00000000" w:rsidRDefault="00000000" w:rsidRPr="00000000" w14:paraId="000000B6">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8">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A">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D">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E">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F">
      <w:pPr>
        <w:shd w:fill="ffffff" w:val="clear"/>
        <w:spacing w:line="276" w:lineRule="auto"/>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C0">
      <w:pPr>
        <w:spacing w:line="276" w:lineRule="auto"/>
        <w:ind w:left="360" w:right="795" w:firstLine="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РАЗОВОЕ ПОСЕЩЕНИЕ </w:t>
      </w:r>
    </w:p>
    <w:p w:rsidR="00000000" w:rsidDel="00000000" w:rsidP="00000000" w:rsidRDefault="00000000" w:rsidRPr="00000000" w14:paraId="000000C1">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2">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C3">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 руб.</w:t>
            </w:r>
          </w:p>
        </w:tc>
      </w:tr>
    </w:tbl>
    <w:p w:rsidR="00000000" w:rsidDel="00000000" w:rsidP="00000000" w:rsidRDefault="00000000" w:rsidRPr="00000000" w14:paraId="000000C8">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9">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B">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E">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 руб.</w:t>
            </w:r>
          </w:p>
        </w:tc>
      </w:tr>
    </w:tbl>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5"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обе стороны такси оплачивает клиент</w:t>
      </w:r>
    </w:p>
    <w:p w:rsidR="00000000" w:rsidDel="00000000" w:rsidP="00000000" w:rsidRDefault="00000000" w:rsidRPr="00000000" w14:paraId="000000D1">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4">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5600 руб.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280)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7600 руб.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380)</w:t>
            </w:r>
            <w:r w:rsidDel="00000000" w:rsidR="00000000" w:rsidRPr="00000000">
              <w:rPr>
                <w:rtl w:val="0"/>
              </w:rPr>
            </w:r>
          </w:p>
        </w:tc>
      </w:tr>
    </w:tbl>
    <w:p w:rsidR="00000000" w:rsidDel="00000000" w:rsidP="00000000" w:rsidRDefault="00000000" w:rsidRPr="00000000" w14:paraId="000000DB">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35"/>
                <w:tab w:val="center" w:pos="1487"/>
              </w:tabs>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11 200 руб.</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280)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15 200 руб.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380)</w:t>
            </w:r>
            <w:r w:rsidDel="00000000" w:rsidR="00000000" w:rsidRPr="00000000">
              <w:rPr>
                <w:rtl w:val="0"/>
              </w:rPr>
            </w:r>
          </w:p>
        </w:tc>
      </w:tr>
    </w:tbl>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340" w:right="795" w:firstLine="7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E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9">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A">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B">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C">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D">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E">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hd w:fill="ffffff" w:val="clear"/>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ОНЛАЙН-НЯНЯ</w:t>
      </w:r>
    </w:p>
    <w:p w:rsidR="00000000" w:rsidDel="00000000" w:rsidP="00000000" w:rsidRDefault="00000000" w:rsidRPr="00000000" w14:paraId="000000F1">
      <w:pPr>
        <w:shd w:fill="ffffff" w:val="clear"/>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от 1 часа</w:t>
      </w:r>
    </w:p>
    <w:tbl>
      <w:tblPr>
        <w:tblStyle w:val="Table6"/>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2">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3">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4">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5">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6">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7">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8">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9">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A">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B">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E">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10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101">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2">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3">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4">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450 рублей </w:t>
      </w:r>
    </w:p>
    <w:p w:rsidR="00000000" w:rsidDel="00000000" w:rsidP="00000000" w:rsidRDefault="00000000" w:rsidRPr="00000000" w14:paraId="00000105">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hanging="33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Игровая зона</w:t>
      </w:r>
      <w:r w:rsidDel="00000000" w:rsidR="00000000" w:rsidRPr="00000000">
        <w:rPr>
          <w:rtl w:val="0"/>
        </w:rPr>
      </w:r>
    </w:p>
    <w:p w:rsidR="00000000" w:rsidDel="00000000" w:rsidP="00000000" w:rsidRDefault="00000000" w:rsidRPr="00000000" w14:paraId="00000107">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8">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050"/>
        </w:tabs>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1 часа – 2 500 рублей (5 детей – 2 няни).</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количество детей превышает 5 человек –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доплата 550 рублей/человек.</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ОНЛАЙН КУРСЫ ДЛЯ МАМ</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Векторный психоанализ – 319 рублей</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spacing w:line="276" w:lineRule="auto"/>
        <w:ind w:left="360" w:right="795" w:firstLine="0"/>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5">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uiPriority w:val="11"/>
    <w:qFormat w:val="1"/>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0" w:customStyle="1">
    <w:name w:val="Table Normal"/>
    <w:tblPr>
      <w:tblCellMar>
        <w:top w:w="0.0" w:type="dxa"/>
        <w:left w:w="0.0" w:type="dxa"/>
        <w:bottom w:w="0.0" w:type="dxa"/>
        <w:right w:w="0.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table" w:styleId="af5" w:customStyle="1">
    <w:basedOn w:val="TableNormal0"/>
    <w:tblPr>
      <w:tblStyleRowBandSize w:val="1"/>
      <w:tblStyleColBandSize w:val="1"/>
      <w:tblCellMar>
        <w:left w:w="115.0" w:type="dxa"/>
        <w:right w:w="115.0" w:type="dxa"/>
      </w:tblCellMar>
    </w:tblPr>
  </w:style>
  <w:style w:type="table" w:styleId="af6" w:customStyle="1">
    <w:basedOn w:val="TableNormal0"/>
    <w:tblPr>
      <w:tblStyleRowBandSize w:val="1"/>
      <w:tblStyleColBandSize w:val="1"/>
      <w:tblCellMar>
        <w:left w:w="115.0" w:type="dxa"/>
        <w:right w:w="115.0" w:type="dxa"/>
      </w:tblCellMar>
    </w:tblPr>
  </w:style>
  <w:style w:type="table" w:styleId="af7" w:customStyle="1">
    <w:basedOn w:val="TableNormal0"/>
    <w:tblPr>
      <w:tblStyleRowBandSize w:val="1"/>
      <w:tblStyleColBandSize w:val="1"/>
      <w:tblCellMar>
        <w:left w:w="115.0" w:type="dxa"/>
        <w:right w:w="115.0" w:type="dxa"/>
      </w:tblCellMar>
    </w:tblPr>
  </w:style>
  <w:style w:type="table" w:styleId="af8" w:customStyle="1">
    <w:basedOn w:val="TableNormal0"/>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15.0" w:type="dxa"/>
        <w:right w:w="115.0" w:type="dxa"/>
      </w:tblCellMar>
    </w:tblPr>
  </w:style>
  <w:style w:type="table" w:styleId="afa" w:customStyle="1">
    <w:basedOn w:val="TableNormal0"/>
    <w:tblPr>
      <w:tblStyleRowBandSize w:val="1"/>
      <w:tblStyleColBandSize w:val="1"/>
      <w:tblCellMar>
        <w:left w:w="115.0" w:type="dxa"/>
        <w:right w:w="115.0" w:type="dxa"/>
      </w:tblCellMar>
    </w:tblPr>
  </w:style>
  <w:style w:type="paragraph" w:styleId="paragraph" w:customStyle="1">
    <w:name w:val="paragraph"/>
    <w:basedOn w:val="a"/>
    <w:rsid w:val="00545B4B"/>
    <w:pPr>
      <w:widowControl w:val="1"/>
      <w:spacing w:after="100" w:afterAutospacing="1" w:before="100" w:beforeAutospacing="1" w:line="240" w:lineRule="auto"/>
      <w:textAlignment w:val="auto"/>
      <w:outlineLvl w:val="9"/>
    </w:pPr>
    <w:rPr>
      <w:rFonts w:ascii="Times New Roman" w:cs="Times New Roman" w:eastAsia="Times New Roman" w:hAnsi="Times New Roman"/>
      <w:sz w:val="24"/>
      <w:szCs w:val="24"/>
      <w:lang w:bidi="ar-SA" w:eastAsia="ru-RU"/>
    </w:rPr>
  </w:style>
  <w:style w:type="character" w:styleId="normaltextrun" w:customStyle="1">
    <w:name w:val="normaltextrun"/>
    <w:rsid w:val="00545B4B"/>
  </w:style>
  <w:style w:type="character" w:styleId="eop" w:customStyle="1">
    <w:name w:val="eop"/>
    <w:rsid w:val="00545B4B"/>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1E2wzPhTCaiHcuvIcl90xXiGsg==">AMUW2mUmprltOhDUA5/gM13IPlirN74gsyitgdff4vvVhFNIQqULeT5j+9wUtZVmQ+g5XBB53+7CrpBecxON/kb6UcuTeLMWfsMhJekcz1sHnhLtjXGoak4X6c8cw88yUqaEq1avzDnGuBUhL2FggtFnmXiYBwsjdA==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