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ООО «ПРОДДАР» (ОГРН 1147456001340, ИНН 7456020599)</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ООО «ПРОДДАР» (ОГРН 1147456001340, ИНН 7456020599</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455000, Челябинская область, г. Магнитогорск, ул. Оранжерейная, д. 29 кв.31</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г.Магнитогорск,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Магнитогорск  (пригород)  дополнительно оплачивается такси</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 </w:t>
      </w:r>
      <w:r w:rsidDel="00000000" w:rsidR="00000000" w:rsidRPr="00000000">
        <w:rPr>
          <w:rFonts w:ascii="Times New Roman" w:cs="Times New Roman" w:eastAsia="Times New Roman" w:hAnsi="Times New Roman"/>
          <w:color w:val="000000"/>
          <w:sz w:val="28"/>
          <w:szCs w:val="28"/>
          <w:rtl w:val="0"/>
        </w:rPr>
        <w:t xml:space="preserve">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ООО «ПРОДДАР»., Юридический адрес: Юридический адрес: 455000, Челябинская область, г. Магнитогорск, ул. Оранжерейная, д.29, кв.31, Почтовый адрес: 455000, Челябинская область, г. Магнитогорск, ул. Оранжерейная, д.29, кв.31, ОГРН 1147456001340, ИНН 7456020599, Банковские реквизиты: р/с 40702810438070003677, Филиал «Екатеринбургский» АО «Альфа-банк», БИК 046577964, к/с 30101810100000000964, Тел. 8-900-065-79-13.</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C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5">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9">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руб.</w:t>
            </w:r>
          </w:p>
        </w:tc>
      </w:tr>
    </w:tbl>
    <w:p w:rsidR="00000000" w:rsidDel="00000000" w:rsidP="00000000" w:rsidRDefault="00000000" w:rsidRPr="00000000" w14:paraId="000000CE">
      <w:pPr>
        <w:ind w:right="795"/>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D1">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numPr>
                <w:ilvl w:val="0"/>
                <w:numId w:val="5"/>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4">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D6">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A">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5600 руб. </w:t>
            </w:r>
          </w:p>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E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5000 руб. </w:t>
            </w:r>
          </w:p>
          <w:p w:rsidR="00000000" w:rsidDel="00000000" w:rsidP="00000000" w:rsidRDefault="00000000" w:rsidRPr="00000000" w14:paraId="000000E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250)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E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300)</w:t>
            </w:r>
          </w:p>
        </w:tc>
      </w:tr>
    </w:tbl>
    <w:p w:rsidR="00000000" w:rsidDel="00000000" w:rsidP="00000000" w:rsidRDefault="00000000" w:rsidRPr="00000000" w14:paraId="000000EA">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F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F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F3">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F">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3">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6">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9">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1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2">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1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4">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1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1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17">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A">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20">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21">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p w:rsidR="00000000" w:rsidDel="00000000" w:rsidP="00000000" w:rsidRDefault="00000000" w:rsidRPr="00000000" w14:paraId="0000012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r>
    </w:tbl>
    <w:p w:rsidR="00000000" w:rsidDel="00000000" w:rsidP="00000000" w:rsidRDefault="00000000" w:rsidRPr="00000000" w14:paraId="00000126">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w:t>
            </w:r>
          </w:p>
        </w:tc>
        <w:tc>
          <w:tcPr/>
          <w:p w:rsidR="00000000" w:rsidDel="00000000" w:rsidP="00000000" w:rsidRDefault="00000000" w:rsidRPr="00000000" w14:paraId="0000012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2C">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3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31">
            <w:pPr>
              <w:widowControl w:val="1"/>
              <w:jc w:val="center"/>
              <w:rPr>
                <w:rFonts w:ascii="Times New Roman" w:cs="Times New Roman" w:eastAsia="Times New Roman" w:hAnsi="Times New Roman"/>
              </w:rPr>
            </w:pPr>
            <w:bookmarkStart w:colFirst="0" w:colLast="0" w:name="_heading=h.gjdgxs" w:id="1"/>
            <w:bookmarkEnd w:id="1"/>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3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36">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7">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8">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9">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table" w:styleId="afb"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sRVjt3v0dSsoiOm/Lo9iZ8Y8jQ==">AMUW2mVcerJCjFfLBw6FkwG0Pg4gB9FGc8DUkl2g5ejNYOUyP3R7A6ij0IhcDTvTBKg+3JenvOl+jRpmkgr45S0nhnzkvKJu+YLGNYx3YrA0h6nb4CVifkOAieDn9qynm3XVUliaNbDp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