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ООО «ПРОДДАР</w:t>
      </w:r>
      <w:r w:rsidDel="00000000" w:rsidR="00000000" w:rsidRPr="00000000">
        <w:rPr>
          <w:sz w:val="24"/>
          <w:szCs w:val="24"/>
          <w:highlight w:val="white"/>
          <w:rtl w:val="0"/>
        </w:rPr>
        <w:t xml:space="preserve">»</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sz w:val="24"/>
          <w:szCs w:val="24"/>
          <w:rtl w:val="0"/>
        </w:rPr>
        <w:t xml:space="preserve">далее – «Оферта» или «Договор») представляет собой официальное предложение ООО «ПРОДДАР» (ОГРН 1147456001340, ИНН 7456020599) (далее именуемый(-ая) «Исполнитель»)</w:t>
      </w:r>
      <w:r w:rsidDel="00000000" w:rsidR="00000000" w:rsidRPr="00000000">
        <w:rPr>
          <w:sz w:val="23"/>
          <w:szCs w:val="23"/>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 </w:t>
      </w:r>
      <w:r w:rsidDel="00000000" w:rsidR="00000000" w:rsidRPr="00000000">
        <w:rPr>
          <w:sz w:val="24"/>
          <w:szCs w:val="24"/>
          <w:rtl w:val="0"/>
        </w:rPr>
        <w:t xml:space="preserve"> г. Магнитогорск</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4"/>
          <w:szCs w:val="24"/>
          <w:rtl w:val="0"/>
        </w:rPr>
        <w:t xml:space="preserve"> г. Магнитогорск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240" w:right="147" w:firstLine="0"/>
        <w:jc w:val="both"/>
        <w:rPr>
          <w:sz w:val="24"/>
          <w:szCs w:val="24"/>
        </w:rPr>
      </w:pPr>
      <w:r w:rsidDel="00000000" w:rsidR="00000000" w:rsidRPr="00000000">
        <w:rPr>
          <w:sz w:val="24"/>
          <w:szCs w:val="24"/>
          <w:rtl w:val="0"/>
        </w:rPr>
        <w:t xml:space="preserve">ООО «ПРОДДАР»., Юридический адрес: Юридический адрес: 455000, Челябинская область, г. Магнитогорск, ул. Оранжерейная, д.29, кв.31, Почтовый адрес: 455000, Челябинская область, г. Магнитогорск, ул. Оранжерейная,   д.29,   кв.31,   ОГРН   1147456001340,   ИНН   7456020599,</w:t>
      </w:r>
    </w:p>
    <w:p w:rsidR="00000000" w:rsidDel="00000000" w:rsidP="00000000" w:rsidRDefault="00000000" w:rsidRPr="00000000" w14:paraId="00000087">
      <w:pPr>
        <w:widowControl w:val="0"/>
        <w:spacing w:after="0" w:line="321" w:lineRule="auto"/>
        <w:ind w:left="240" w:firstLine="0"/>
        <w:jc w:val="both"/>
        <w:rPr>
          <w:sz w:val="23"/>
          <w:szCs w:val="23"/>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Банковские        реквизиты:        р/с        40702810438070003677,        Филиал «Екатеринбургский» АО «Альфа-банк», БИК 046577964, к/с 30101810100000000964, Тел. 8-900-065-79-13.</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330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380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430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500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6000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7000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8000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6600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7600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20 000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500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6000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7200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8400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6">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highlight w:val="white"/>
              </w:rPr>
            </w:pPr>
            <w:r w:rsidDel="00000000" w:rsidR="00000000" w:rsidRPr="00000000">
              <w:rPr>
                <w:b w:val="1"/>
                <w:sz w:val="24"/>
                <w:szCs w:val="24"/>
                <w:highlight w:val="white"/>
                <w:rtl w:val="0"/>
              </w:rPr>
              <w:t xml:space="preserve">Стоимость 15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A">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B">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30 минут 3000 руб.</w:t>
            </w:r>
            <w:r w:rsidDel="00000000" w:rsidR="00000000" w:rsidRPr="00000000">
              <w:rPr>
                <w:rtl w:val="0"/>
              </w:rPr>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550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650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n3bDOtJVtcORnRDlKEn3aEMuw==">AMUW2mXHKcy8MR0SSRbLjNplckRTdwmFX+atSa2DqIFjpj/GcmzSi7Js+E12Zvhw6ZwRFlAuFCs2Eau2av1qQRmWODnq9zRtfYpmac78bUGP1KdIV+8kJNmQFYsZOvoiSsVivqJgqcKGhJ7o+9alKfzzdl0nvdvzaWkzERfLtASX5wE1hxFxifU=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