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Москва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widowControl w:val="0"/>
        <w:spacing w:after="120" w:before="12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6">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A">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yWxxZNDn1uM0Oo8BtKRFI3mA==">AMUW2mW+ZHgAis5YqGtckw+HjBzB/ihhrKpMOhSdNshMhRh89tsk/fdEy1Sgn0ke8pOcHruLDpAvEVzk5rF/9grCYxhKO8/U5VNOvSmXc1/kq3tXLpxOQEuXYQ58lSRJh3qSLdnNtLT8+5p0Z2VozELhi8gmL+CD5BGnGSRt0wU29vkJPDLXzKw=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