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sz w:val="24"/>
          <w:szCs w:val="24"/>
          <w:rtl w:val="0"/>
        </w:rPr>
        <w:t xml:space="preserve">".</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г.Москва в случае если расстояние от адреса Заказчика, указанного в его заявке составляет более 700 метров , то Заказчик оплачивает такси Исполнителю в обе стороны до ближайшей станции метро. Также такси оплачивается в случае оказания услуги за пределами г. Москва (пригород)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sectPr>
          <w:pgSz w:h="16838" w:w="11906" w:orient="portrait"/>
          <w:pgMar w:bottom="851" w:top="851" w:left="1134" w:right="851" w:header="0" w:footer="0"/>
          <w:pgNumType w:start="1"/>
        </w:sectPr>
      </w:pPr>
      <w:r w:rsidDel="00000000" w:rsidR="00000000" w:rsidRPr="00000000">
        <w:rPr>
          <w:sz w:val="24"/>
          <w:szCs w:val="24"/>
          <w:highlight w:val="white"/>
          <w:rtl w:val="0"/>
        </w:rPr>
        <w:t xml:space="preserve">Исполнитель: ОБЩЕСТВО С ОГРАНИЧЕННОЙ ОТВЕТСТВЕННОСТЬЮ "УК НЯНЯ НА ЧАС", Юридический адрес организации: 445028, РОССИЯ, САМАРСКАЯ ОБЛ, Г ТОЛЬЯТТИ, ПРОЕЗД ОПТИМИСТОВ, Д 7, КВ 87, ИНН 6320055673, КПП 632001001, ОГРН 1216300005184, Расчетный счет 40702810910001035597,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7">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1150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1350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16250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21250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26250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23200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31200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39200 руб</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СОПРОВОЖДЕНИЕ или 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9">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i w:val="1"/>
                <w:sz w:val="28"/>
                <w:szCs w:val="28"/>
              </w:rPr>
            </w:pPr>
            <w:r w:rsidDel="00000000" w:rsidR="00000000" w:rsidRPr="00000000">
              <w:rPr>
                <w:i w:val="1"/>
                <w:sz w:val="28"/>
                <w:szCs w:val="28"/>
                <w:rtl w:val="0"/>
              </w:rPr>
              <w:t xml:space="preserve">14440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19200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24000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C">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1">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D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A">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1">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3">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5">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6">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8">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1">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0">
      <w:pPr>
        <w:spacing w:after="0" w:before="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pAI4kXIM9qvG5w4njuel241t0A==">AMUW2mVUtxPR2WPDLK0bj0GnXoMEvxLqur3IGzHFAH0VaumZ06CrjG6fgk+cXDg0d0ClIgGENtWxI1IPM8EHCPfztD6OC9ZVvdRyqdAtpPk6CYM4Tb0WHaB2cdlV2TEame6MNLIPkzDEP+DpFqJkCg/rwH/n68xKJesKIti9MYj65dEK3GS5aKI=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