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1"/>
        </w:numPr>
        <w:spacing w:after="40" w:before="240" w:line="276" w:lineRule="auto"/>
        <w:ind w:left="0" w:firstLine="0"/>
        <w:jc w:val="center"/>
        <w:rPr>
          <w:rFonts w:ascii="Times New Roman" w:cs="Times New Roman" w:eastAsia="Times New Roman" w:hAnsi="Times New Roman"/>
          <w:b w:val="1"/>
          <w:color w:val="000000"/>
          <w:sz w:val="32"/>
          <w:szCs w:val="32"/>
        </w:rPr>
      </w:pPr>
      <w:bookmarkStart w:colFirst="0" w:colLast="0" w:name="_heading=h.3znysh7" w:id="0"/>
      <w:bookmarkEnd w:id="0"/>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 ИП Коваленко Анастасия Константиновна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Коваленко Анастасия Константиновна (</w:t>
      </w:r>
      <w:r w:rsidDel="00000000" w:rsidR="00000000" w:rsidRPr="00000000">
        <w:rPr>
          <w:rFonts w:ascii="Times New Roman" w:cs="Times New Roman" w:eastAsia="Times New Roman" w:hAnsi="Times New Roman"/>
          <w:color w:val="000000"/>
          <w:sz w:val="28"/>
          <w:szCs w:val="28"/>
          <w:rtl w:val="0"/>
        </w:rPr>
        <w:t xml:space="preserve">ОГРН 319753600003339, ИНН 753616059921</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Коваленко Анастасия Константиновна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Коваленко Анастасия Константиновна (</w:t>
      </w:r>
      <w:r w:rsidDel="00000000" w:rsidR="00000000" w:rsidRPr="00000000">
        <w:rPr>
          <w:rFonts w:ascii="Times New Roman" w:cs="Times New Roman" w:eastAsia="Times New Roman" w:hAnsi="Times New Roman"/>
          <w:color w:val="000000"/>
          <w:sz w:val="28"/>
          <w:szCs w:val="28"/>
          <w:rtl w:val="0"/>
        </w:rPr>
        <w:t xml:space="preserve">ОГРН 319753600003339, ИНН 753616059921),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Коваленко Анастасия Константиновна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Коваленко Анастасия Константиновна.</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Коваленко Анастасия Константиновна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5">
      <w:pPr>
        <w:numPr>
          <w:ilvl w:val="1"/>
          <w:numId w:val="2"/>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hanging="6.99999999999999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hanging="6.99999999999999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hanging="6.99999999999999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1.7322834645671" w:firstLine="135"/>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hanging="6.999999999999993"/>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hanging="6.999999999999993"/>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г. Москва, ул. Островитянова, 53, кв. 145, 117342.</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При оформлении заказа на тариф «День» (с 08-00 до 20-59), и в пределах транспортной развязки г. Москвы, в случае если продолжительность пути няни пешком составляет дольше 20 минут (основываясь на Яндекс карты или 2гис), то Заказчик оплачивает такси Исполнителю в обе стороны до транспортной развязки (станции метро).</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такси оплачивается в случае оказания услуги за пределами г. Москвы (пригород)</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При начале или окончании оказания услуги в ночное время (с 20:59 до 7:59) такси оплачивается до дома сотрудника.</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Если температура на улице ниже -25С, дополнительно оплачивается такси в обе стороны сотруднику до станции метро.</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6">
      <w:pPr>
        <w:numPr>
          <w:ilvl w:val="1"/>
          <w:numId w:val="5"/>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7">
      <w:pPr>
        <w:numPr>
          <w:ilvl w:val="1"/>
          <w:numId w:val="5"/>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8">
      <w:pPr>
        <w:numPr>
          <w:ilvl w:val="1"/>
          <w:numId w:val="5"/>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9">
      <w:pPr>
        <w:numPr>
          <w:ilvl w:val="1"/>
          <w:numId w:val="5"/>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Реквизиты Исполнителя:  ИП Коваленко Анастасия Константиновна, Юридический адрес: Россия, г. Москва, ул. Островитянова, 53-145, 117342. Почтовый адрес: Россия, г. Москва, ул. Островитянова, 53-145, 117342. ОГРН 319753600003339, </w:t>
      </w:r>
      <w:bookmarkStart w:colFirst="0" w:colLast="0" w:name="bookmark=id.30j0zll" w:id="1"/>
      <w:bookmarkEnd w:id="1"/>
      <w:r w:rsidDel="00000000" w:rsidR="00000000" w:rsidRPr="00000000">
        <w:rPr>
          <w:rFonts w:ascii="Times New Roman" w:cs="Times New Roman" w:eastAsia="Times New Roman" w:hAnsi="Times New Roman"/>
          <w:color w:val="000000"/>
          <w:sz w:val="28"/>
          <w:szCs w:val="28"/>
          <w:rtl w:val="0"/>
        </w:rPr>
        <w:t xml:space="preserve"> ИНН 753616059921. Банковские реквизиты: р/с 40802810500002597496 , АО "ТИНЬКОФФ-</w:t>
      </w:r>
      <w:bookmarkStart w:colFirst="0" w:colLast="0" w:name="bookmark=id.1fob9te" w:id="2"/>
      <w:bookmarkEnd w:id="2"/>
      <w:r w:rsidDel="00000000" w:rsidR="00000000" w:rsidRPr="00000000">
        <w:rPr>
          <w:rFonts w:ascii="Times New Roman" w:cs="Times New Roman" w:eastAsia="Times New Roman" w:hAnsi="Times New Roman"/>
          <w:color w:val="000000"/>
          <w:sz w:val="28"/>
          <w:szCs w:val="28"/>
          <w:rtl w:val="0"/>
        </w:rPr>
        <w:t xml:space="preserve">БАНК" , БИК 044525974</w:t>
      </w:r>
      <w:bookmarkStart w:colFirst="0" w:colLast="0" w:name="bookmark=id.3znysh7" w:id="3"/>
      <w:bookmarkEnd w:id="3"/>
      <w:r w:rsidDel="00000000" w:rsidR="00000000" w:rsidRPr="00000000">
        <w:rPr>
          <w:rFonts w:ascii="Times New Roman" w:cs="Times New Roman" w:eastAsia="Times New Roman" w:hAnsi="Times New Roman"/>
          <w:color w:val="000000"/>
          <w:sz w:val="28"/>
          <w:szCs w:val="28"/>
          <w:rtl w:val="0"/>
        </w:rPr>
        <w:t xml:space="preserve">, к/с 30101810145250000974, Тел. 8-925-218-25-25.</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widowControl w:val="1"/>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widowControl w:val="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widowControl w:val="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Приложение №1 </w:t>
      </w:r>
      <w:r w:rsidDel="00000000" w:rsidR="00000000" w:rsidRPr="00000000">
        <w:rPr>
          <w:rtl w:val="0"/>
        </w:rPr>
      </w:r>
    </w:p>
    <w:p w:rsidR="00000000" w:rsidDel="00000000" w:rsidP="00000000" w:rsidRDefault="00000000" w:rsidRPr="00000000" w14:paraId="000000B1">
      <w:pPr>
        <w:widowControl w:val="1"/>
        <w:shd w:fill="ffffff" w:val="clear"/>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B2">
      <w:pPr>
        <w:widowControl w:val="1"/>
        <w:shd w:fill="ffffff" w:val="clear"/>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3">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B4">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5">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6">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B7">
      <w:pPr>
        <w:widowControl w:val="1"/>
        <w:rPr>
          <w:rFonts w:ascii="Times New Roman" w:cs="Times New Roman" w:eastAsia="Times New Roman" w:hAnsi="Times New Roman"/>
          <w:sz w:val="24"/>
          <w:szCs w:val="24"/>
        </w:rPr>
      </w:pPr>
      <w:r w:rsidDel="00000000" w:rsidR="00000000" w:rsidRPr="00000000">
        <w:rPr>
          <w:rtl w:val="0"/>
        </w:rPr>
      </w:r>
    </w:p>
    <w:tbl>
      <w:tblPr>
        <w:tblStyle w:val="Table1"/>
        <w:tblW w:w="3055.0" w:type="dxa"/>
        <w:jc w:val="left"/>
        <w:tblInd w:w="3319.0" w:type="dxa"/>
        <w:tblLayout w:type="fixed"/>
        <w:tblLook w:val="0400"/>
      </w:tblPr>
      <w:tblGrid>
        <w:gridCol w:w="1670"/>
        <w:gridCol w:w="1385"/>
        <w:tblGridChange w:id="0">
          <w:tblGrid>
            <w:gridCol w:w="1670"/>
            <w:gridCol w:w="13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B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E">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F">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br w:type="textWrapping"/>
      </w:r>
      <w:r w:rsidDel="00000000" w:rsidR="00000000" w:rsidRPr="00000000">
        <w:rPr>
          <w:rtl w:val="0"/>
        </w:rPr>
      </w:r>
    </w:p>
    <w:tbl>
      <w:tblPr>
        <w:tblStyle w:val="Table2"/>
        <w:tblW w:w="3539.0" w:type="dxa"/>
        <w:jc w:val="center"/>
        <w:tblLayout w:type="fixed"/>
        <w:tblLook w:val="0400"/>
      </w:tblPr>
      <w:tblGrid>
        <w:gridCol w:w="1555"/>
        <w:gridCol w:w="1984"/>
        <w:tblGridChange w:id="0">
          <w:tblGrid>
            <w:gridCol w:w="1555"/>
            <w:gridCol w:w="19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4"/>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 руб.</w:t>
            </w:r>
          </w:p>
        </w:tc>
      </w:tr>
    </w:tbl>
    <w:p w:rsidR="00000000" w:rsidDel="00000000" w:rsidP="00000000" w:rsidRDefault="00000000" w:rsidRPr="00000000" w14:paraId="000000C4">
      <w:pPr>
        <w:widowControl w:val="1"/>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C5">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3"/>
        <w:tblW w:w="3560.0" w:type="dxa"/>
        <w:jc w:val="center"/>
        <w:tblLayout w:type="fixed"/>
        <w:tblLook w:val="0400"/>
      </w:tblPr>
      <w:tblGrid>
        <w:gridCol w:w="1780"/>
        <w:gridCol w:w="1780"/>
        <w:tblGridChange w:id="0">
          <w:tblGrid>
            <w:gridCol w:w="1780"/>
            <w:gridCol w:w="1780"/>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часа 550)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часа 650)</w:t>
            </w:r>
          </w:p>
        </w:tc>
      </w:tr>
    </w:tbl>
    <w:p w:rsidR="00000000" w:rsidDel="00000000" w:rsidP="00000000" w:rsidRDefault="00000000" w:rsidRPr="00000000" w14:paraId="000000C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0">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3560.0" w:type="dxa"/>
        <w:jc w:val="center"/>
        <w:tblLayout w:type="fixed"/>
        <w:tblLook w:val="0400"/>
      </w:tblPr>
      <w:tblGrid>
        <w:gridCol w:w="1780"/>
        <w:gridCol w:w="1780"/>
        <w:tblGridChange w:id="0">
          <w:tblGrid>
            <w:gridCol w:w="1780"/>
            <w:gridCol w:w="1780"/>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10600 руб. </w:t>
            </w:r>
          </w:p>
          <w:p w:rsidR="00000000" w:rsidDel="00000000" w:rsidP="00000000" w:rsidRDefault="00000000" w:rsidRPr="00000000" w14:paraId="000000D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часа 530)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12600 руб. </w:t>
            </w:r>
          </w:p>
          <w:p w:rsidR="00000000" w:rsidDel="00000000" w:rsidP="00000000" w:rsidRDefault="00000000" w:rsidRPr="00000000" w14:paraId="000000D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часа 630)</w:t>
            </w:r>
          </w:p>
        </w:tc>
      </w:tr>
    </w:tbl>
    <w:p w:rsidR="00000000" w:rsidDel="00000000" w:rsidP="00000000" w:rsidRDefault="00000000" w:rsidRPr="00000000" w14:paraId="000000D7">
      <w:pPr>
        <w:widowControl w:val="1"/>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АБОНЕМЕНТ «ПУТЕШЕСТВИЕ»</w:t>
      </w:r>
    </w:p>
    <w:p w:rsidR="00000000" w:rsidDel="00000000" w:rsidP="00000000" w:rsidRDefault="00000000" w:rsidRPr="00000000" w14:paraId="000000D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D9">
      <w:pPr>
        <w:widowControl w:val="1"/>
        <w:rPr>
          <w:rFonts w:ascii="Times New Roman" w:cs="Times New Roman" w:eastAsia="Times New Roman" w:hAnsi="Times New Roman"/>
          <w:sz w:val="24"/>
          <w:szCs w:val="24"/>
        </w:rPr>
      </w:pPr>
      <w:r w:rsidDel="00000000" w:rsidR="00000000" w:rsidRPr="00000000">
        <w:rPr>
          <w:rtl w:val="0"/>
        </w:rPr>
      </w:r>
    </w:p>
    <w:tbl>
      <w:tblPr>
        <w:tblStyle w:val="Table5"/>
        <w:tblW w:w="3697.0" w:type="dxa"/>
        <w:jc w:val="center"/>
        <w:tblLayout w:type="fixed"/>
        <w:tblLook w:val="0400"/>
      </w:tblPr>
      <w:tblGrid>
        <w:gridCol w:w="1880"/>
        <w:gridCol w:w="1817"/>
        <w:tblGridChange w:id="0">
          <w:tblGrid>
            <w:gridCol w:w="1880"/>
            <w:gridCol w:w="1817"/>
          </w:tblGrid>
        </w:tblGridChange>
      </w:tblGrid>
      <w:tr>
        <w:trPr>
          <w:cantSplit w:val="0"/>
          <w:trHeight w:val="2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rHeight w:val="7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21200 руб.</w:t>
            </w:r>
          </w:p>
          <w:p w:rsidR="00000000" w:rsidDel="00000000" w:rsidP="00000000" w:rsidRDefault="00000000" w:rsidRPr="00000000" w14:paraId="000000D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часа 530)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25200 руб. </w:t>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часа 630)</w:t>
            </w:r>
          </w:p>
        </w:tc>
      </w:tr>
    </w:tbl>
    <w:p w:rsidR="00000000" w:rsidDel="00000000" w:rsidP="00000000" w:rsidRDefault="00000000" w:rsidRPr="00000000" w14:paraId="000000E0">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E2">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3">
      <w:pPr>
        <w:widowControl w:val="1"/>
        <w:rPr>
          <w:rFonts w:ascii="Times New Roman" w:cs="Times New Roman" w:eastAsia="Times New Roman" w:hAnsi="Times New Roman"/>
          <w:sz w:val="24"/>
          <w:szCs w:val="24"/>
        </w:rPr>
      </w:pPr>
      <w:r w:rsidDel="00000000" w:rsidR="00000000" w:rsidRPr="00000000">
        <w:rPr>
          <w:rtl w:val="0"/>
        </w:rPr>
      </w:r>
    </w:p>
    <w:tbl>
      <w:tblPr>
        <w:tblStyle w:val="Table6"/>
        <w:tblW w:w="3666.0" w:type="dxa"/>
        <w:jc w:val="left"/>
        <w:tblInd w:w="3069.0" w:type="dxa"/>
        <w:tblLayout w:type="fixed"/>
        <w:tblLook w:val="0400"/>
      </w:tblPr>
      <w:tblGrid>
        <w:gridCol w:w="1823"/>
        <w:gridCol w:w="1843"/>
        <w:tblGridChange w:id="0">
          <w:tblGrid>
            <w:gridCol w:w="1823"/>
            <w:gridCol w:w="184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5">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руб.</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руб.</w:t>
            </w:r>
          </w:p>
        </w:tc>
      </w:tr>
    </w:tbl>
    <w:p w:rsidR="00000000" w:rsidDel="00000000" w:rsidP="00000000" w:rsidRDefault="00000000" w:rsidRPr="00000000" w14:paraId="000000E8">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0EA">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1 часа</w:t>
      </w:r>
      <w:r w:rsidDel="00000000" w:rsidR="00000000" w:rsidRPr="00000000">
        <w:rPr>
          <w:rtl w:val="0"/>
        </w:rPr>
      </w:r>
    </w:p>
    <w:tbl>
      <w:tblPr>
        <w:tblStyle w:val="Table7"/>
        <w:tblW w:w="5186.0" w:type="dxa"/>
        <w:jc w:val="center"/>
        <w:tblLayout w:type="fixed"/>
        <w:tblLook w:val="0400"/>
      </w:tblPr>
      <w:tblGrid>
        <w:gridCol w:w="2738"/>
        <w:gridCol w:w="1230"/>
        <w:gridCol w:w="1218"/>
        <w:tblGridChange w:id="0">
          <w:tblGrid>
            <w:gridCol w:w="2738"/>
            <w:gridCol w:w="1230"/>
            <w:gridCol w:w="12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F4">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0F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0F8">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1 часа </w:t>
      </w:r>
      <w:r w:rsidDel="00000000" w:rsidR="00000000" w:rsidRPr="00000000">
        <w:rPr>
          <w:rtl w:val="0"/>
        </w:rPr>
      </w:r>
    </w:p>
    <w:p w:rsidR="00000000" w:rsidDel="00000000" w:rsidP="00000000" w:rsidRDefault="00000000" w:rsidRPr="00000000" w14:paraId="000000F9">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0FA">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1"/>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0F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E">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F">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00">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bookmarkStart w:colFirst="0" w:colLast="0" w:name="_heading=h.gjdgxs" w:id="4"/>
      <w:bookmarkEnd w:id="4"/>
      <w:r w:rsidDel="00000000" w:rsidR="00000000" w:rsidRPr="00000000">
        <w:rPr>
          <w:rFonts w:ascii="Times New Roman" w:cs="Times New Roman" w:eastAsia="Times New Roman" w:hAnsi="Times New Roman"/>
          <w:sz w:val="24"/>
          <w:szCs w:val="24"/>
          <w:rtl w:val="0"/>
        </w:rPr>
        <w:t xml:space="preserve">Стоимость 1 часа – 3 500 рублей (5 детей – 2 няни).</w:t>
      </w:r>
    </w:p>
    <w:p w:rsidR="00000000" w:rsidDel="00000000" w:rsidP="00000000" w:rsidRDefault="00000000" w:rsidRPr="00000000" w14:paraId="00000103">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6">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widowControl w:val="1"/>
        <w:shd w:fill="ffffff" w:val="clea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08">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 </w:t>
      </w:r>
    </w:p>
    <w:p w:rsidR="00000000" w:rsidDel="00000000" w:rsidP="00000000" w:rsidRDefault="00000000" w:rsidRPr="00000000" w14:paraId="00000109">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«День» с 08.00 до 20.59</w:t>
      </w:r>
      <w:r w:rsidDel="00000000" w:rsidR="00000000" w:rsidRPr="00000000">
        <w:rPr>
          <w:rFonts w:ascii="Times New Roman" w:cs="Times New Roman" w:eastAsia="Times New Roman" w:hAnsi="Times New Roman"/>
          <w:rtl w:val="0"/>
        </w:rPr>
        <w:t xml:space="preserve"> </w:t>
      </w:r>
    </w:p>
    <w:tbl>
      <w:tblPr>
        <w:tblStyle w:val="Table8"/>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A">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B">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C">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D">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 </w:t>
            </w:r>
          </w:p>
        </w:tc>
      </w:tr>
    </w:tbl>
    <w:p w:rsidR="00000000" w:rsidDel="00000000" w:rsidP="00000000" w:rsidRDefault="00000000" w:rsidRPr="00000000" w14:paraId="0000010E">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F">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«Ночь» с 21.00 до 07.59</w:t>
      </w:r>
      <w:r w:rsidDel="00000000" w:rsidR="00000000" w:rsidRPr="00000000">
        <w:rPr>
          <w:rFonts w:ascii="Times New Roman" w:cs="Times New Roman" w:eastAsia="Times New Roman" w:hAnsi="Times New Roman"/>
          <w:rtl w:val="0"/>
        </w:rPr>
        <w:t xml:space="preserve"> </w:t>
      </w:r>
    </w:p>
    <w:tbl>
      <w:tblPr>
        <w:tblStyle w:val="Table9"/>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0">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1">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2">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3">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 </w:t>
            </w:r>
          </w:p>
        </w:tc>
      </w:tr>
    </w:tbl>
    <w:p w:rsidR="00000000" w:rsidDel="00000000" w:rsidP="00000000" w:rsidRDefault="00000000" w:rsidRPr="00000000" w14:paraId="00000114">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5">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r w:rsidDel="00000000" w:rsidR="00000000" w:rsidRPr="00000000">
        <w:rPr>
          <w:rFonts w:ascii="Times New Roman" w:cs="Times New Roman" w:eastAsia="Times New Roman" w:hAnsi="Times New Roman"/>
          <w:rtl w:val="0"/>
        </w:rPr>
        <w:t xml:space="preserve"> </w:t>
      </w:r>
    </w:p>
    <w:tbl>
      <w:tblPr>
        <w:tblStyle w:val="Table10"/>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6">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7">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8">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9">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w:t>
            </w:r>
          </w:p>
        </w:tc>
      </w:tr>
    </w:tbl>
    <w:p w:rsidR="00000000" w:rsidDel="00000000" w:rsidP="00000000" w:rsidRDefault="00000000" w:rsidRPr="00000000" w14:paraId="0000011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D">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20">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1">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2">
      <w:pPr>
        <w:shd w:fill="ffffff" w:val="clear"/>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3" w:customStyle="1">
    <w:name w:val="Table Normal"/>
    <w:tblPr>
      <w:tblCellMar>
        <w:top w:w="0.0" w:type="dxa"/>
        <w:left w:w="0.0" w:type="dxa"/>
        <w:bottom w:w="0.0" w:type="dxa"/>
        <w:right w:w="0.0" w:type="dxa"/>
      </w:tblCellMar>
    </w:tblPr>
  </w:style>
  <w:style w:type="table" w:styleId="af2" w:customStyle="1">
    <w:basedOn w:val="TableNormal3"/>
    <w:tblPr>
      <w:tblStyleRowBandSize w:val="1"/>
      <w:tblStyleColBandSize w:val="1"/>
      <w:tblCellMar>
        <w:left w:w="115.0" w:type="dxa"/>
        <w:right w:w="115.0" w:type="dxa"/>
      </w:tblCellMar>
    </w:tblPr>
  </w:style>
  <w:style w:type="table" w:styleId="af3" w:customStyle="1">
    <w:basedOn w:val="TableNormal3"/>
    <w:tblPr>
      <w:tblStyleRowBandSize w:val="1"/>
      <w:tblStyleColBandSize w:val="1"/>
      <w:tblCellMar>
        <w:left w:w="115.0" w:type="dxa"/>
        <w:right w:w="115.0" w:type="dxa"/>
      </w:tblCellMar>
    </w:tblPr>
  </w:style>
  <w:style w:type="table" w:styleId="af4" w:customStyle="1">
    <w:basedOn w:val="TableNormal3"/>
    <w:tblPr>
      <w:tblStyleRowBandSize w:val="1"/>
      <w:tblStyleColBandSize w:val="1"/>
      <w:tblCellMar>
        <w:left w:w="115.0" w:type="dxa"/>
        <w:right w:w="115.0" w:type="dxa"/>
      </w:tblCellMar>
    </w:tblPr>
  </w:style>
  <w:style w:type="table" w:styleId="af5" w:customStyle="1">
    <w:basedOn w:val="TableNormal3"/>
    <w:tblPr>
      <w:tblStyleRowBandSize w:val="1"/>
      <w:tblStyleColBandSize w:val="1"/>
      <w:tblCellMar>
        <w:left w:w="115.0" w:type="dxa"/>
        <w:right w:w="115.0" w:type="dxa"/>
      </w:tblCellMar>
    </w:tblPr>
  </w:style>
  <w:style w:type="table" w:styleId="af6" w:customStyle="1">
    <w:basedOn w:val="TableNormal3"/>
    <w:tblPr>
      <w:tblStyleRowBandSize w:val="1"/>
      <w:tblStyleColBandSize w:val="1"/>
      <w:tblCellMar>
        <w:left w:w="115.0" w:type="dxa"/>
        <w:right w:w="115.0" w:type="dxa"/>
      </w:tblCellMar>
    </w:tblPr>
  </w:style>
  <w:style w:type="table" w:styleId="af7" w:customStyle="1">
    <w:basedOn w:val="TableNormal3"/>
    <w:tblPr>
      <w:tblStyleRowBandSize w:val="1"/>
      <w:tblStyleColBandSize w:val="1"/>
      <w:tblCellMar>
        <w:left w:w="115.0" w:type="dxa"/>
        <w:right w:w="115.0" w:type="dxa"/>
      </w:tblCellMar>
    </w:tblPr>
  </w:style>
  <w:style w:type="table" w:styleId="af8" w:customStyle="1">
    <w:basedOn w:val="TableNormal3"/>
    <w:tblPr>
      <w:tblStyleRowBandSize w:val="1"/>
      <w:tblStyleColBandSize w:val="1"/>
      <w:tblCellMar>
        <w:left w:w="115.0" w:type="dxa"/>
        <w:right w:w="115.0" w:type="dxa"/>
      </w:tblCellMar>
    </w:tblPr>
  </w:style>
  <w:style w:type="table" w:styleId="af9" w:customStyle="1">
    <w:basedOn w:val="TableNormal3"/>
    <w:tblPr>
      <w:tblStyleRowBandSize w:val="1"/>
      <w:tblStyleColBandSize w:val="1"/>
      <w:tblCellMar>
        <w:left w:w="115.0" w:type="dxa"/>
        <w:right w:w="115.0" w:type="dxa"/>
      </w:tblCellMar>
    </w:tblPr>
  </w:style>
  <w:style w:type="table" w:styleId="afa" w:customStyle="1">
    <w:basedOn w:val="TableNormal3"/>
    <w:tblPr>
      <w:tblStyleRowBandSize w:val="1"/>
      <w:tblStyleColBandSize w:val="1"/>
      <w:tblCellMar>
        <w:left w:w="115.0" w:type="dxa"/>
        <w:right w:w="115.0" w:type="dxa"/>
      </w:tblCellMar>
    </w:tblPr>
  </w:style>
  <w:style w:type="table" w:styleId="afb" w:customStyle="1">
    <w:basedOn w:val="TableNormal3"/>
    <w:tblPr>
      <w:tblStyleRowBandSize w:val="1"/>
      <w:tblStyleColBandSize w:val="1"/>
      <w:tblCellMar>
        <w:left w:w="115.0" w:type="dxa"/>
        <w:right w:w="115.0" w:type="dxa"/>
      </w:tblCellMar>
    </w:tblPr>
  </w:style>
  <w:style w:type="table" w:styleId="afc" w:customStyle="1">
    <w:basedOn w:val="TableNormal2"/>
    <w:tblPr>
      <w:tblStyleRowBandSize w:val="1"/>
      <w:tblStyleColBandSize w:val="1"/>
      <w:tblCellMar>
        <w:top w:w="100.0" w:type="dxa"/>
        <w:left w:w="100.0" w:type="dxa"/>
        <w:bottom w:w="100.0" w:type="dxa"/>
        <w:right w:w="100.0" w:type="dxa"/>
      </w:tblCellMar>
    </w:tblPr>
  </w:style>
  <w:style w:type="table" w:styleId="afd" w:customStyle="1">
    <w:basedOn w:val="TableNormal2"/>
    <w:tblPr>
      <w:tblStyleRowBandSize w:val="1"/>
      <w:tblStyleColBandSize w:val="1"/>
      <w:tblCellMar>
        <w:top w:w="100.0" w:type="dxa"/>
        <w:left w:w="100.0" w:type="dxa"/>
        <w:bottom w:w="100.0" w:type="dxa"/>
        <w:right w:w="100.0" w:type="dxa"/>
      </w:tblCellMar>
    </w:tblPr>
  </w:style>
  <w:style w:type="table" w:styleId="afe" w:customStyle="1">
    <w:basedOn w:val="TableNormal2"/>
    <w:tblPr>
      <w:tblStyleRowBandSize w:val="1"/>
      <w:tblStyleColBandSize w:val="1"/>
      <w:tblCellMar>
        <w:top w:w="100.0" w:type="dxa"/>
        <w:left w:w="100.0" w:type="dxa"/>
        <w:bottom w:w="100.0" w:type="dxa"/>
        <w:right w:w="100.0" w:type="dxa"/>
      </w:tblCellMar>
    </w:tblPr>
  </w:style>
  <w:style w:type="table" w:styleId="aff" w:customStyle="1">
    <w:basedOn w:val="TableNormal2"/>
    <w:tblPr>
      <w:tblStyleRowBandSize w:val="1"/>
      <w:tblStyleColBandSize w:val="1"/>
      <w:tblCellMar>
        <w:top w:w="100.0" w:type="dxa"/>
        <w:left w:w="100.0" w:type="dxa"/>
        <w:bottom w:w="100.0" w:type="dxa"/>
        <w:right w:w="100.0" w:type="dxa"/>
      </w:tblCellMar>
    </w:tblPr>
  </w:style>
  <w:style w:type="table" w:styleId="aff0" w:customStyle="1">
    <w:basedOn w:val="TableNormal2"/>
    <w:tblPr>
      <w:tblStyleRowBandSize w:val="1"/>
      <w:tblStyleColBandSize w:val="1"/>
      <w:tblCellMar>
        <w:top w:w="100.0" w:type="dxa"/>
        <w:left w:w="100.0" w:type="dxa"/>
        <w:bottom w:w="100.0" w:type="dxa"/>
        <w:right w:w="100.0" w:type="dxa"/>
      </w:tblCellMar>
    </w:tblPr>
  </w:style>
  <w:style w:type="table" w:styleId="aff1" w:customStyle="1">
    <w:basedOn w:val="TableNormal2"/>
    <w:tblPr>
      <w:tblStyleRowBandSize w:val="1"/>
      <w:tblStyleColBandSize w:val="1"/>
      <w:tblCellMar>
        <w:top w:w="100.0" w:type="dxa"/>
        <w:left w:w="100.0" w:type="dxa"/>
        <w:bottom w:w="100.0" w:type="dxa"/>
        <w:right w:w="100.0" w:type="dxa"/>
      </w:tblCellMar>
    </w:tblPr>
  </w:style>
  <w:style w:type="table" w:styleId="aff2" w:customStyle="1">
    <w:basedOn w:val="TableNormal2"/>
    <w:tblPr>
      <w:tblStyleRowBandSize w:val="1"/>
      <w:tblStyleColBandSize w:val="1"/>
      <w:tblCellMar>
        <w:top w:w="100.0" w:type="dxa"/>
        <w:left w:w="100.0" w:type="dxa"/>
        <w:bottom w:w="100.0" w:type="dxa"/>
        <w:right w:w="100.0" w:type="dxa"/>
      </w:tblCellMar>
    </w:tblPr>
  </w:style>
  <w:style w:type="table" w:styleId="aff3" w:customStyle="1">
    <w:basedOn w:val="TableNormal2"/>
    <w:tblPr>
      <w:tblStyleRowBandSize w:val="1"/>
      <w:tblStyleColBandSize w:val="1"/>
      <w:tblCellMar>
        <w:top w:w="100.0" w:type="dxa"/>
        <w:left w:w="100.0" w:type="dxa"/>
        <w:bottom w:w="100.0" w:type="dxa"/>
        <w:right w:w="100.0" w:type="dxa"/>
      </w:tblCellMar>
    </w:tblPr>
  </w:style>
  <w:style w:type="table" w:styleId="aff4" w:customStyle="1">
    <w:basedOn w:val="TableNormal2"/>
    <w:tblPr>
      <w:tblStyleRowBandSize w:val="1"/>
      <w:tblStyleColBandSize w:val="1"/>
      <w:tblCellMar>
        <w:top w:w="100.0" w:type="dxa"/>
        <w:left w:w="100.0" w:type="dxa"/>
        <w:bottom w:w="100.0" w:type="dxa"/>
        <w:right w:w="100.0" w:type="dxa"/>
      </w:tblCellMar>
    </w:tblPr>
  </w:style>
  <w:style w:type="table" w:styleId="aff5" w:customStyle="1">
    <w:basedOn w:val="TableNormal2"/>
    <w:tblPr>
      <w:tblStyleRowBandSize w:val="1"/>
      <w:tblStyleColBandSize w:val="1"/>
      <w:tblCellMar>
        <w:top w:w="100.0" w:type="dxa"/>
        <w:left w:w="100.0" w:type="dxa"/>
        <w:bottom w:w="100.0" w:type="dxa"/>
        <w:right w:w="100.0" w:type="dxa"/>
      </w:tblCellMar>
    </w:tblPr>
  </w:style>
  <w:style w:type="table" w:styleId="aff6" w:customStyle="1">
    <w:basedOn w:val="TableNormal1"/>
    <w:tblPr>
      <w:tblStyleRowBandSize w:val="1"/>
      <w:tblStyleColBandSize w:val="1"/>
      <w:tblCellMar>
        <w:top w:w="100.0" w:type="dxa"/>
        <w:left w:w="100.0" w:type="dxa"/>
        <w:bottom w:w="100.0" w:type="dxa"/>
        <w:right w:w="100.0" w:type="dxa"/>
      </w:tblCellMar>
    </w:tblPr>
  </w:style>
  <w:style w:type="table" w:styleId="aff7" w:customStyle="1">
    <w:basedOn w:val="TableNormal1"/>
    <w:tblPr>
      <w:tblStyleRowBandSize w:val="1"/>
      <w:tblStyleColBandSize w:val="1"/>
      <w:tblCellMar>
        <w:top w:w="100.0" w:type="dxa"/>
        <w:left w:w="100.0" w:type="dxa"/>
        <w:bottom w:w="100.0" w:type="dxa"/>
        <w:right w:w="100.0" w:type="dxa"/>
      </w:tblCellMar>
    </w:tblPr>
  </w:style>
  <w:style w:type="table" w:styleId="aff8" w:customStyle="1">
    <w:basedOn w:val="TableNormal1"/>
    <w:tblPr>
      <w:tblStyleRowBandSize w:val="1"/>
      <w:tblStyleColBandSize w:val="1"/>
      <w:tblCellMar>
        <w:top w:w="100.0" w:type="dxa"/>
        <w:left w:w="100.0" w:type="dxa"/>
        <w:bottom w:w="100.0" w:type="dxa"/>
        <w:right w:w="100.0" w:type="dxa"/>
      </w:tblCellMar>
    </w:tblPr>
  </w:style>
  <w:style w:type="table" w:styleId="aff9" w:customStyle="1">
    <w:basedOn w:val="TableNormal1"/>
    <w:tblPr>
      <w:tblStyleRowBandSize w:val="1"/>
      <w:tblStyleColBandSize w:val="1"/>
      <w:tblCellMar>
        <w:top w:w="100.0" w:type="dxa"/>
        <w:left w:w="100.0" w:type="dxa"/>
        <w:bottom w:w="100.0" w:type="dxa"/>
        <w:right w:w="100.0" w:type="dxa"/>
      </w:tblCellMar>
    </w:tblPr>
  </w:style>
  <w:style w:type="table" w:styleId="affa" w:customStyle="1">
    <w:basedOn w:val="TableNormal1"/>
    <w:tblPr>
      <w:tblStyleRowBandSize w:val="1"/>
      <w:tblStyleColBandSize w:val="1"/>
      <w:tblCellMar>
        <w:top w:w="100.0" w:type="dxa"/>
        <w:left w:w="100.0" w:type="dxa"/>
        <w:bottom w:w="100.0" w:type="dxa"/>
        <w:right w:w="100.0" w:type="dxa"/>
      </w:tblCellMar>
    </w:tblPr>
  </w:style>
  <w:style w:type="table" w:styleId="affb" w:customStyle="1">
    <w:basedOn w:val="TableNormal1"/>
    <w:tblPr>
      <w:tblStyleRowBandSize w:val="1"/>
      <w:tblStyleColBandSize w:val="1"/>
      <w:tblCellMar>
        <w:top w:w="100.0" w:type="dxa"/>
        <w:left w:w="100.0" w:type="dxa"/>
        <w:bottom w:w="100.0" w:type="dxa"/>
        <w:right w:w="100.0" w:type="dxa"/>
      </w:tblCellMar>
    </w:tblPr>
  </w:style>
  <w:style w:type="table" w:styleId="affc" w:customStyle="1">
    <w:basedOn w:val="TableNormal1"/>
    <w:tblPr>
      <w:tblStyleRowBandSize w:val="1"/>
      <w:tblStyleColBandSize w:val="1"/>
      <w:tblCellMar>
        <w:top w:w="100.0" w:type="dxa"/>
        <w:left w:w="100.0" w:type="dxa"/>
        <w:bottom w:w="100.0" w:type="dxa"/>
        <w:right w:w="100.0" w:type="dxa"/>
      </w:tblCellMar>
    </w:tblPr>
  </w:style>
  <w:style w:type="table" w:styleId="affd" w:customStyle="1">
    <w:basedOn w:val="TableNormal1"/>
    <w:tblPr>
      <w:tblStyleRowBandSize w:val="1"/>
      <w:tblStyleColBandSize w:val="1"/>
      <w:tblCellMar>
        <w:top w:w="100.0" w:type="dxa"/>
        <w:left w:w="100.0" w:type="dxa"/>
        <w:bottom w:w="100.0" w:type="dxa"/>
        <w:right w:w="100.0" w:type="dxa"/>
      </w:tblCellMar>
    </w:tblPr>
  </w:style>
  <w:style w:type="table" w:styleId="affe" w:customStyle="1">
    <w:basedOn w:val="TableNormal1"/>
    <w:tblPr>
      <w:tblStyleRowBandSize w:val="1"/>
      <w:tblStyleColBandSize w:val="1"/>
      <w:tblCellMar>
        <w:top w:w="100.0" w:type="dxa"/>
        <w:left w:w="100.0" w:type="dxa"/>
        <w:bottom w:w="100.0" w:type="dxa"/>
        <w:right w:w="100.0" w:type="dxa"/>
      </w:tblCellMar>
    </w:tblPr>
  </w:style>
  <w:style w:type="table" w:styleId="afff" w:customStyle="1">
    <w:basedOn w:val="TableNormal1"/>
    <w:tblPr>
      <w:tblStyleRowBandSize w:val="1"/>
      <w:tblStyleColBandSize w:val="1"/>
      <w:tblCellMar>
        <w:top w:w="100.0" w:type="dxa"/>
        <w:left w:w="100.0" w:type="dxa"/>
        <w:bottom w:w="100.0" w:type="dxa"/>
        <w:right w:w="100.0" w:type="dxa"/>
      </w:tblCellMar>
    </w:tblPr>
  </w:style>
  <w:style w:type="table" w:styleId="afff0" w:customStyle="1">
    <w:basedOn w:val="TableNormal1"/>
    <w:tblPr>
      <w:tblStyleRowBandSize w:val="1"/>
      <w:tblStyleColBandSize w:val="1"/>
      <w:tblCellMar>
        <w:top w:w="100.0" w:type="dxa"/>
        <w:left w:w="100.0" w:type="dxa"/>
        <w:bottom w:w="100.0" w:type="dxa"/>
        <w:right w:w="100.0" w:type="dxa"/>
      </w:tblCellMar>
    </w:tblPr>
  </w:style>
  <w:style w:type="table" w:styleId="afff1" w:customStyle="1">
    <w:basedOn w:val="TableNormal1"/>
    <w:tblPr>
      <w:tblStyleRowBandSize w:val="1"/>
      <w:tblStyleColBandSize w:val="1"/>
      <w:tblCellMar>
        <w:top w:w="100.0" w:type="dxa"/>
        <w:left w:w="100.0" w:type="dxa"/>
        <w:bottom w:w="100.0" w:type="dxa"/>
        <w:right w:w="100.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o9yWjkS0Zh6HXErENcb2C3AuA==">AMUW2mXyGjJA6Uh/z7WsJOF5BCLQkPW0WOJjKeMXwhkKJtgEreNwQI2GhSZcAApozGJB+PJfdhIkalJjtlshj6T7m3pX08m4/a9SBz7s5HP5VTTk5UKlE5xluLzq1oO/MM4lCQu0+7ZVksvJ7k06PEb3bj25TbsnJ4FodSvFb3pC1QV146YZESZ7CPwFaRSZjF1Md3eJcUzs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2021-09-29T20:20:00Z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