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Волкова Дарья Дмитриевна (ОГРНИП 320745600023107, ИНН </w:t>
      </w:r>
      <w:r w:rsidDel="00000000" w:rsidR="00000000" w:rsidRPr="00000000">
        <w:rPr>
          <w:sz w:val="28"/>
          <w:szCs w:val="28"/>
          <w:rtl w:val="0"/>
        </w:rPr>
        <w:t xml:space="preserve">744914962130)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Волкова Дарья Дмитриевна (ОГРНИП 320745600023107, ИНН </w:t>
      </w:r>
      <w:r w:rsidDel="00000000" w:rsidR="00000000" w:rsidRPr="00000000">
        <w:rPr>
          <w:sz w:val="28"/>
          <w:szCs w:val="28"/>
          <w:rtl w:val="0"/>
        </w:rPr>
        <w:t xml:space="preserve">744914962130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(абонементы) и 2 часа (игровая зона).  В случае фактического оказания услуги в период времени менее 1 часа (разовое посещение) и 3 часа 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629300 Россия Ямало-Ненецкий автономный округ, Новый Уренгой мкр энтузиастов д3 кв 139</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Новый Уренгой,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Челябинск   (пригород)  дополнительно оплачивается такси.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Волкова Дарья., Юридический адрес: 454078, Челябинская, Челябинск, Улица Гончаренко, д. 90б, квартира/офис 26, Почтовый адрес: 629300 Россия Ямало-Ненецкий автономный округ, Новый Уренгой мкр энтузиастов д3 кв 139, ОГРНИП 320745600023107, ИНН 744914962130, Банковские реквизиты: р/с 40802810200001572259, АО "Тинькофф банк", БИК 044525974, к/с 301018101452 50000974, Тел. +7929 2588734</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1">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5">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6">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BA">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D">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E">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widowControl w:val="1"/>
              <w:numPr>
                <w:ilvl w:val="0"/>
                <w:numId w:val="2"/>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2">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C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C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6">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2">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3">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A">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D">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3">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9">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9">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A">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D">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cGRxxabfbpdt9jSJ9vCoC3+kQ==">AMUW2mXuJ/03UQaacanH3NZGiYbE2Z4K4KjbU2u27VDUPfnwtMe9NsnPeGeI/5/2z7v0fp0PPqASjoC1ZFv04Klhw6STbsmnyQHhXACbxG06DuqT/xhsTMRpwd3WX+mLmKuOb4HXHAIu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