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40" w:before="240" w:line="276" w:lineRule="auto"/>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10.12</w:t>
      </w:r>
      <w:r w:rsidDel="00000000" w:rsidR="00000000" w:rsidRPr="00000000">
        <w:rPr>
          <w:rFonts w:ascii="Times New Roman" w:cs="Times New Roman" w:eastAsia="Times New Roman" w:hAnsi="Times New Roman"/>
          <w:color w:val="000000"/>
          <w:sz w:val="32"/>
          <w:szCs w:val="32"/>
          <w:rtl w:val="0"/>
        </w:rPr>
        <w:t xml:space="preserve">.202</w:t>
      </w:r>
      <w:r w:rsidDel="00000000" w:rsidR="00000000" w:rsidRPr="00000000">
        <w:rPr>
          <w:rFonts w:ascii="Times New Roman" w:cs="Times New Roman" w:eastAsia="Times New Roman" w:hAnsi="Times New Roman"/>
          <w:sz w:val="32"/>
          <w:szCs w:val="32"/>
          <w:rtl w:val="0"/>
        </w:rPr>
        <w:t xml:space="preserve">1 </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hd w:fill="ffffff" w:val="clear"/>
        <w:spacing w:line="276" w:lineRule="auto"/>
        <w:ind w:left="502" w:hanging="36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Общие положения</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76" w:lineRule="auto"/>
        <w:ind w:left="502"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Хайров Никита Дмитриевич</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Настоящий публичный договор (далее – «Оферта» или «Договор») представляет собой официальное предложение ИП Хайров Никита Дмитриевич (ОГРНИП 321665800123690 , ИНН 663408879677),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w:t>
      </w:r>
      <w:r w:rsidDel="00000000" w:rsidR="00000000" w:rsidRPr="00000000">
        <w:rPr>
          <w:rFonts w:ascii="Times New Roman" w:cs="Times New Roman" w:eastAsia="Times New Roman" w:hAnsi="Times New Roman"/>
          <w:sz w:val="28"/>
          <w:szCs w:val="28"/>
          <w:rtl w:val="0"/>
        </w:rPr>
        <w:t xml:space="preserve">тьми.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 ИП Хайров Никита Дмитриевич.</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Хайров Никита Дмитриевич (ОГРНИП 321665800123690 , ИНН 663408879677), </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3.Предмет оферты</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ФИО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город проживания</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Заказа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 ИП Хайров Никита Дмитриевич </w:t>
      </w:r>
      <w:r w:rsidDel="00000000" w:rsidR="00000000" w:rsidRPr="00000000">
        <w:rPr>
          <w:rFonts w:ascii="Times New Roman" w:cs="Times New Roman" w:eastAsia="Times New Roman" w:hAnsi="Times New Roman"/>
          <w:color w:val="000000"/>
          <w:sz w:val="28"/>
          <w:szCs w:val="28"/>
          <w:rtl w:val="0"/>
        </w:rPr>
        <w:t xml:space="preserve">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 ИП Хайров Никита Дмитриевич</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 ИП Хайров Никита Дмитриевич </w:t>
      </w:r>
      <w:r w:rsidDel="00000000" w:rsidR="00000000" w:rsidRPr="00000000">
        <w:rPr>
          <w:rFonts w:ascii="Times New Roman" w:cs="Times New Roman" w:eastAsia="Times New Roman" w:hAnsi="Times New Roman"/>
          <w:color w:val="000000"/>
          <w:sz w:val="28"/>
          <w:szCs w:val="28"/>
          <w:rtl w:val="0"/>
        </w:rPr>
        <w:t xml:space="preserve">связывается с Заказчиком для конкретизации дальнейших действий.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4.16.Исполнитель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4">
      <w:pPr>
        <w:numPr>
          <w:ilvl w:val="1"/>
          <w:numId w:val="2"/>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7.Оплата услуг</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630030 г. Новосибирск ул. Первомайская д. 234 кв. 105</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8.Транспорт</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Новосибирск,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Новосибирск   (пригород)  дополнительно оплачивается такси.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8A">
      <w:pPr>
        <w:shd w:fill="ffffff" w:val="clear"/>
        <w:ind w:left="142" w:firstLine="0"/>
        <w:jc w:val="both"/>
        <w:rPr/>
      </w:pPr>
      <w:r w:rsidDel="00000000" w:rsidR="00000000" w:rsidRPr="00000000">
        <w:rPr>
          <w:rFonts w:ascii="Times New Roman" w:cs="Times New Roman" w:eastAsia="Times New Roman" w:hAnsi="Times New Roman"/>
          <w:sz w:val="28"/>
          <w:szCs w:val="28"/>
          <w:rtl w:val="0"/>
        </w:rPr>
        <w:t xml:space="preserve">8.4. При оказании услуги «Сопровождение» дополнительно действуют следующие условия:</w:t>
      </w:r>
      <w:r w:rsidDel="00000000" w:rsidR="00000000" w:rsidRPr="00000000">
        <w:rPr>
          <w:rtl w:val="0"/>
        </w:rPr>
      </w:r>
    </w:p>
    <w:p w:rsidR="00000000" w:rsidDel="00000000" w:rsidP="00000000" w:rsidRDefault="00000000" w:rsidRPr="00000000" w14:paraId="0000008B">
      <w:pPr>
        <w:shd w:fill="ffffff" w:val="clear"/>
        <w:ind w:left="142" w:firstLine="0"/>
        <w:jc w:val="both"/>
        <w:rPr/>
      </w:pPr>
      <w:r w:rsidDel="00000000" w:rsidR="00000000" w:rsidRPr="00000000">
        <w:rPr>
          <w:rFonts w:ascii="Times New Roman" w:cs="Times New Roman" w:eastAsia="Times New Roman" w:hAnsi="Times New Roman"/>
          <w:sz w:val="28"/>
          <w:szCs w:val="28"/>
          <w:rtl w:val="0"/>
        </w:rPr>
        <w:t xml:space="preserve">8.4.1. Увеличение срока Заказа более чем на 10 минут тарифицируется как за 1 час.</w:t>
      </w:r>
      <w:r w:rsidDel="00000000" w:rsidR="00000000" w:rsidRPr="00000000">
        <w:rPr>
          <w:rtl w:val="0"/>
        </w:rPr>
      </w:r>
    </w:p>
    <w:p w:rsidR="00000000" w:rsidDel="00000000" w:rsidP="00000000" w:rsidRDefault="00000000" w:rsidRPr="00000000" w14:paraId="0000008C">
      <w:pPr>
        <w:shd w:fill="ffffff" w:val="clear"/>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8.4.2. Заказчик дополнительно оплачивает такси в случае оказания Услуги за пределами города или если расстояние от адреса Заказчика, указанного в Заказе, составляет более 700 метров от конечных станций метро (для Москвы)/от остановки общественного транспорта (для регионов).</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9.Ответственность</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4">
      <w:pPr>
        <w:numPr>
          <w:ilvl w:val="1"/>
          <w:numId w:val="1"/>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5">
      <w:pPr>
        <w:numPr>
          <w:ilvl w:val="1"/>
          <w:numId w:val="1"/>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w:t>
      </w:r>
      <w:r w:rsidDel="00000000" w:rsidR="00000000" w:rsidRPr="00000000">
        <w:rPr>
          <w:rFonts w:ascii="Times New Roman" w:cs="Times New Roman" w:eastAsia="Times New Roman" w:hAnsi="Times New Roman"/>
          <w:sz w:val="28"/>
          <w:szCs w:val="28"/>
          <w:rtl w:val="0"/>
        </w:rPr>
        <w:t xml:space="preserve">несоответствия</w:t>
      </w:r>
      <w:r w:rsidDel="00000000" w:rsidR="00000000" w:rsidRPr="00000000">
        <w:rPr>
          <w:rFonts w:ascii="Times New Roman" w:cs="Times New Roman" w:eastAsia="Times New Roman" w:hAnsi="Times New Roman"/>
          <w:color w:val="000000"/>
          <w:sz w:val="28"/>
          <w:szCs w:val="28"/>
          <w:rtl w:val="0"/>
        </w:rPr>
        <w:t xml:space="preserve">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6">
      <w:pPr>
        <w:numPr>
          <w:ilvl w:val="1"/>
          <w:numId w:val="1"/>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7">
      <w:pPr>
        <w:numPr>
          <w:ilvl w:val="1"/>
          <w:numId w:val="1"/>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w:t>
      </w:r>
      <w:r w:rsidDel="00000000" w:rsidR="00000000" w:rsidRPr="00000000">
        <w:rPr>
          <w:rFonts w:ascii="Times New Roman" w:cs="Times New Roman" w:eastAsia="Times New Roman" w:hAnsi="Times New Roman"/>
          <w:sz w:val="28"/>
          <w:szCs w:val="28"/>
          <w:rtl w:val="0"/>
        </w:rPr>
        <w:t xml:space="preserve">досудебный</w:t>
      </w:r>
      <w:r w:rsidDel="00000000" w:rsidR="00000000" w:rsidRPr="00000000">
        <w:rPr>
          <w:rFonts w:ascii="Times New Roman" w:cs="Times New Roman" w:eastAsia="Times New Roman" w:hAnsi="Times New Roman"/>
          <w:color w:val="000000"/>
          <w:sz w:val="28"/>
          <w:szCs w:val="28"/>
          <w:rtl w:val="0"/>
        </w:rPr>
        <w:t xml:space="preserve">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30j0zll" w:id="0"/>
      <w:bookmarkEnd w:id="0"/>
      <w:r w:rsidDel="00000000" w:rsidR="00000000" w:rsidRPr="00000000">
        <w:rPr>
          <w:rFonts w:ascii="Times New Roman" w:cs="Times New Roman" w:eastAsia="Times New Roman" w:hAnsi="Times New Roman"/>
          <w:sz w:val="28"/>
          <w:szCs w:val="28"/>
          <w:rtl w:val="0"/>
        </w:rPr>
        <w:t xml:space="preserve">Исполнитель: ИП Хайров Никита Дмитриевич., Юридический адрес: 623950, Свердловская область, г. Тавда, Максима Горького 112а, Почтовый адрес</w:t>
      </w:r>
      <w:r w:rsidDel="00000000" w:rsidR="00000000" w:rsidRPr="00000000">
        <w:rPr>
          <w:rFonts w:ascii="Times New Roman" w:cs="Times New Roman" w:eastAsia="Times New Roman" w:hAnsi="Times New Roman"/>
          <w:color w:val="000000"/>
          <w:sz w:val="28"/>
          <w:szCs w:val="28"/>
          <w:rtl w:val="0"/>
        </w:rPr>
        <w:t xml:space="preserve">: 630030 г. Новосибирск ул. Первомайская д. 234 кв. 105</w:t>
      </w:r>
      <w:r w:rsidDel="00000000" w:rsidR="00000000" w:rsidRPr="00000000">
        <w:rPr>
          <w:rFonts w:ascii="Times New Roman" w:cs="Times New Roman" w:eastAsia="Times New Roman" w:hAnsi="Times New Roman"/>
          <w:sz w:val="28"/>
          <w:szCs w:val="28"/>
          <w:rtl w:val="0"/>
        </w:rPr>
        <w:t xml:space="preserve">, ОГРНИП 321665800123690, ИНН 663408879677, Банковские реквизиты: р/с 40802810200002450134, АО "ТИНЬКОФФ БАНК", БИК 044525974, к/с 30101810145250000974 , Тел. 89022672083.</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kaayf5bv3uwj" w:id="1"/>
      <w:bookmarkEnd w:id="1"/>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f96y0nk88dt2" w:id="2"/>
      <w:bookmarkEnd w:id="2"/>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kgp3s3lfw6xx" w:id="3"/>
      <w:bookmarkEnd w:id="3"/>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8oz2yuke9w0g" w:id="4"/>
      <w:bookmarkEnd w:id="4"/>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2kc5dxfo4z42" w:id="5"/>
      <w:bookmarkEnd w:id="5"/>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jeuqc1i8ig25" w:id="6"/>
      <w:bookmarkEnd w:id="6"/>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49az3uvu9gi9" w:id="7"/>
      <w:bookmarkEnd w:id="7"/>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lqgtwoxkd61" w:id="8"/>
      <w:bookmarkEnd w:id="8"/>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2iqm7o6i3ina" w:id="9"/>
      <w:bookmarkEnd w:id="9"/>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ykdp4bxh88or" w:id="10"/>
      <w:bookmarkEnd w:id="10"/>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ckgrllbpb49a" w:id="11"/>
      <w:bookmarkEnd w:id="11"/>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9dozgrs89273" w:id="12"/>
      <w:bookmarkEnd w:id="12"/>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sisimkkk2l47" w:id="13"/>
      <w:bookmarkEnd w:id="13"/>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racxcqnafn9v" w:id="14"/>
      <w:bookmarkEnd w:id="14"/>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cvl34qr7otg" w:id="15"/>
      <w:bookmarkEnd w:id="15"/>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5vbdt3y70c27" w:id="16"/>
      <w:bookmarkEnd w:id="16"/>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d988n29gizhc" w:id="17"/>
      <w:bookmarkEnd w:id="17"/>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uta93s2o2uqe" w:id="18"/>
      <w:bookmarkEnd w:id="18"/>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33wa6sk7ocq1" w:id="19"/>
      <w:bookmarkEnd w:id="19"/>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6is1jqtwv0am" w:id="20"/>
      <w:bookmarkEnd w:id="20"/>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vbzqjqckgd22" w:id="21"/>
      <w:bookmarkEnd w:id="21"/>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d5ttoimdgizv" w:id="22"/>
      <w:bookmarkEnd w:id="22"/>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bdlqebidfhdx" w:id="23"/>
      <w:bookmarkEnd w:id="23"/>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fe1423yl4r8x" w:id="24"/>
      <w:bookmarkEnd w:id="24"/>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72niymupe96c" w:id="25"/>
      <w:bookmarkEnd w:id="25"/>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yf1idyarfwlm" w:id="26"/>
      <w:bookmarkEnd w:id="26"/>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uq1frpj4ztt9" w:id="27"/>
      <w:bookmarkEnd w:id="27"/>
      <w:r w:rsidDel="00000000" w:rsidR="00000000" w:rsidRPr="00000000">
        <w:rPr>
          <w:rtl w:val="0"/>
        </w:rPr>
      </w:r>
    </w:p>
    <w:p w:rsidR="00000000" w:rsidDel="00000000" w:rsidP="00000000" w:rsidRDefault="00000000" w:rsidRPr="00000000" w14:paraId="000000B9">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A">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B">
      <w:pPr>
        <w:shd w:fill="ffffff" w:val="clear"/>
        <w:spacing w:line="276" w:lineRule="auto"/>
        <w:ind w:left="340" w:firstLine="86.00000000000001"/>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BC">
      <w:pPr>
        <w:shd w:fill="ffffff" w:val="clear"/>
        <w:spacing w:line="276" w:lineRule="auto"/>
        <w:ind w:left="340" w:firstLine="86.00000000000001"/>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ПРЕЙСКУРАНТ ЦЕН НА УСЛУГИ «НЯНЯ НА ЧАС»</w:t>
      </w:r>
    </w:p>
    <w:p w:rsidR="00000000" w:rsidDel="00000000" w:rsidP="00000000" w:rsidRDefault="00000000" w:rsidRPr="00000000" w14:paraId="000000BD">
      <w:pPr>
        <w:spacing w:line="276" w:lineRule="auto"/>
        <w:ind w:left="360" w:right="795" w:firstLine="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РАЗОВОЕ ПОСЕЩЕНИЕ </w:t>
      </w:r>
    </w:p>
    <w:p w:rsidR="00000000" w:rsidDel="00000000" w:rsidP="00000000" w:rsidRDefault="00000000" w:rsidRPr="00000000" w14:paraId="000000B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F">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C0">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382.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547"/>
        <w:gridCol w:w="2835"/>
        <w:tblGridChange w:id="0">
          <w:tblGrid>
            <w:gridCol w:w="2547"/>
            <w:gridCol w:w="2835"/>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560 руб.</w:t>
            </w:r>
          </w:p>
        </w:tc>
      </w:tr>
    </w:tbl>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9">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547"/>
        <w:gridCol w:w="2891"/>
        <w:tblGridChange w:id="0">
          <w:tblGrid>
            <w:gridCol w:w="2547"/>
            <w:gridCol w:w="2891"/>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 руб.</w:t>
            </w:r>
          </w:p>
        </w:tc>
      </w:tr>
    </w:tbl>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right="795" w:firstLine="71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 обе стороны такси оплачивает клиент</w:t>
      </w:r>
    </w:p>
    <w:p w:rsidR="00000000" w:rsidDel="00000000" w:rsidP="00000000" w:rsidRDefault="00000000" w:rsidRPr="00000000" w14:paraId="000000CF">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ind w:right="79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 ПЕРИОД С 28 ДЕКАБРЯ ПО 9 ЯНВАРЯ</w:t>
      </w:r>
    </w:p>
    <w:p w:rsidR="00000000" w:rsidDel="00000000" w:rsidP="00000000" w:rsidRDefault="00000000" w:rsidRPr="00000000" w14:paraId="000000D2">
      <w:pPr>
        <w:ind w:right="795"/>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3">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D4">
      <w:pPr>
        <w:ind w:right="795"/>
        <w:jc w:val="center"/>
        <w:rPr>
          <w:rFonts w:ascii="Times New Roman" w:cs="Times New Roman" w:eastAsia="Times New Roman" w:hAnsi="Times New Roman"/>
          <w:sz w:val="24"/>
          <w:szCs w:val="24"/>
        </w:rPr>
      </w:pPr>
      <w:bookmarkStart w:colFirst="0" w:colLast="0" w:name="_heading=h.gjdgxs" w:id="28"/>
      <w:bookmarkEnd w:id="28"/>
      <w:r w:rsidDel="00000000" w:rsidR="00000000" w:rsidRPr="00000000">
        <w:rPr>
          <w:rFonts w:ascii="Times New Roman" w:cs="Times New Roman" w:eastAsia="Times New Roman" w:hAnsi="Times New Roman"/>
          <w:sz w:val="24"/>
          <w:szCs w:val="24"/>
          <w:rtl w:val="0"/>
        </w:rPr>
        <w:t xml:space="preserve"> от 1 часа</w:t>
      </w:r>
    </w:p>
    <w:tbl>
      <w:tblPr>
        <w:tblStyle w:val="Table3"/>
        <w:tblW w:w="5382.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547"/>
        <w:gridCol w:w="2835"/>
        <w:tblGridChange w:id="0">
          <w:tblGrid>
            <w:gridCol w:w="2547"/>
            <w:gridCol w:w="2835"/>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 руб.</w:t>
            </w:r>
          </w:p>
        </w:tc>
      </w:tr>
    </w:tbl>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DC">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4"/>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547"/>
        <w:gridCol w:w="2891"/>
        <w:tblGridChange w:id="0">
          <w:tblGrid>
            <w:gridCol w:w="2547"/>
            <w:gridCol w:w="2891"/>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 руб.</w:t>
            </w:r>
          </w:p>
        </w:tc>
      </w:tr>
    </w:tbl>
    <w:p w:rsidR="00000000" w:rsidDel="00000000" w:rsidP="00000000" w:rsidRDefault="00000000" w:rsidRPr="00000000" w14:paraId="000000E1">
      <w:pPr>
        <w:ind w:right="795" w:firstLine="71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декабря В обе стороны такси оплачивает клиент</w:t>
      </w:r>
    </w:p>
    <w:p w:rsidR="00000000" w:rsidDel="00000000" w:rsidP="00000000" w:rsidRDefault="00000000" w:rsidRPr="00000000" w14:paraId="000000E2">
      <w:pPr>
        <w:ind w:left="360" w:right="795"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ind w:left="360" w:right="795"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4">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Услуга «СОПРОВОЖДЕНИЕ»</w:t>
      </w:r>
    </w:p>
    <w:p w:rsidR="00000000" w:rsidDel="00000000" w:rsidP="00000000" w:rsidRDefault="00000000" w:rsidRPr="00000000" w14:paraId="000000E5">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 1 часа</w:t>
        <w:br w:type="textWrapping"/>
        <w:t xml:space="preserve">Тариф «День» с 8.00 до 20.59</w:t>
      </w:r>
      <w:r w:rsidDel="00000000" w:rsidR="00000000" w:rsidRPr="00000000">
        <w:rPr>
          <w:rtl w:val="0"/>
        </w:rPr>
      </w:r>
    </w:p>
    <w:p w:rsidR="00000000" w:rsidDel="00000000" w:rsidP="00000000" w:rsidRDefault="00000000" w:rsidRPr="00000000" w14:paraId="000000E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6.0" w:type="dxa"/>
        <w:jc w:val="left"/>
        <w:tblInd w:w="2139.0" w:type="dxa"/>
        <w:tblLayout w:type="fixed"/>
        <w:tblLook w:val="0400"/>
      </w:tblPr>
      <w:tblGrid>
        <w:gridCol w:w="2835"/>
        <w:gridCol w:w="2691"/>
        <w:tblGridChange w:id="0">
          <w:tblGrid>
            <w:gridCol w:w="2835"/>
            <w:gridCol w:w="2691"/>
          </w:tblGrid>
        </w:tblGridChange>
      </w:tblGrid>
      <w:tr>
        <w:trPr>
          <w:cantSplit w:val="0"/>
          <w:trHeight w:val="465"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E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E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B">
      <w:pPr>
        <w:ind w:right="79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ind w:right="79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ind w:right="79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ind w:right="79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right="79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F1">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6"/>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2950"/>
        <w:tblGridChange w:id="0">
          <w:tblGrid>
            <w:gridCol w:w="2547"/>
            <w:gridCol w:w="2950"/>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8600 руб.  (цена часа 430)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10600  руб.  (цена часа 530)</w:t>
            </w:r>
          </w:p>
        </w:tc>
      </w:tr>
    </w:tbl>
    <w:p w:rsidR="00000000" w:rsidDel="00000000" w:rsidP="00000000" w:rsidRDefault="00000000" w:rsidRPr="00000000" w14:paraId="000000F6">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F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7"/>
        <w:tblW w:w="52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576"/>
        <w:tblGridChange w:id="0">
          <w:tblGrid>
            <w:gridCol w:w="2695"/>
            <w:gridCol w:w="2576"/>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8000 руб.  (цена часа 400)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10000 руб.  (цена часа 500)</w:t>
            </w:r>
          </w:p>
        </w:tc>
      </w:tr>
    </w:tbl>
    <w:p w:rsidR="00000000" w:rsidDel="00000000" w:rsidP="00000000" w:rsidRDefault="00000000" w:rsidRPr="00000000" w14:paraId="000000FD">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«КРУГЛОСУТОЧНО»</w:t>
      </w:r>
    </w:p>
    <w:tbl>
      <w:tblPr>
        <w:tblStyle w:val="Table8"/>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16000 руб.</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20000 руб. </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500)</w:t>
            </w:r>
            <w:r w:rsidDel="00000000" w:rsidR="00000000" w:rsidRPr="00000000">
              <w:rPr>
                <w:rtl w:val="0"/>
              </w:rPr>
            </w:r>
          </w:p>
        </w:tc>
      </w:tr>
    </w:tbl>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60" w:line="240" w:lineRule="auto"/>
        <w:ind w:left="340" w:right="795" w:firstLine="71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7">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10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10A">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9"/>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B">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C">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D">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E">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F">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hd w:fill="ffffff" w:val="clear"/>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ОНЛАЙН-НЯНЯ</w:t>
      </w:r>
    </w:p>
    <w:p w:rsidR="00000000" w:rsidDel="00000000" w:rsidP="00000000" w:rsidRDefault="00000000" w:rsidRPr="00000000" w14:paraId="00000112">
      <w:pPr>
        <w:shd w:fill="ffffff" w:val="clear"/>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от 1 часа</w:t>
      </w:r>
    </w:p>
    <w:tbl>
      <w:tblPr>
        <w:tblStyle w:val="Table10"/>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13">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14">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5">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16">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17">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8">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19">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1A">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B">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1C">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11F">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2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2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23">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4">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5">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2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7">
      <w:pPr>
        <w:widowControl w:val="1"/>
        <w:pBdr>
          <w:top w:space="0" w:sz="0" w:val="nil"/>
          <w:left w:space="0" w:sz="0" w:val="nil"/>
          <w:bottom w:space="0" w:sz="0" w:val="nil"/>
          <w:right w:space="0" w:sz="0" w:val="nil"/>
          <w:between w:space="0" w:sz="0" w:val="nil"/>
        </w:pBdr>
        <w:shd w:fill="ffffff" w:val="clear"/>
        <w:spacing w:line="240" w:lineRule="auto"/>
        <w:ind w:left="330" w:hanging="33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2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2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2A">
      <w:pPr>
        <w:widowControl w:val="1"/>
        <w:pBdr>
          <w:top w:space="0" w:sz="0" w:val="nil"/>
          <w:left w:space="0" w:sz="0" w:val="nil"/>
          <w:bottom w:space="0" w:sz="0" w:val="nil"/>
          <w:right w:space="0" w:sz="0" w:val="nil"/>
          <w:between w:space="0" w:sz="0" w:val="nil"/>
        </w:pBdr>
        <w:shd w:fill="ffffff" w:val="clear"/>
        <w:spacing w:line="240" w:lineRule="auto"/>
        <w:ind w:left="330" w:firstLine="75"/>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B">
      <w:pPr>
        <w:widowControl w:val="1"/>
        <w:pBdr>
          <w:top w:space="0" w:sz="0" w:val="nil"/>
          <w:left w:space="0" w:sz="0" w:val="nil"/>
          <w:bottom w:space="0" w:sz="0" w:val="nil"/>
          <w:right w:space="0" w:sz="0" w:val="nil"/>
          <w:between w:space="0" w:sz="0" w:val="nil"/>
        </w:pBdr>
        <w:shd w:fill="ffffff" w:val="clear"/>
        <w:tabs>
          <w:tab w:val="left" w:pos="4050"/>
        </w:tabs>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r>
    </w:p>
    <w:p w:rsidR="00000000" w:rsidDel="00000000" w:rsidP="00000000" w:rsidRDefault="00000000" w:rsidRPr="00000000" w14:paraId="0000012C">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Стоимость 1 часа – 3000 рублей (5 детей – 2 няни).</w:t>
      </w:r>
    </w:p>
    <w:p w:rsidR="00000000" w:rsidDel="00000000" w:rsidP="00000000" w:rsidRDefault="00000000" w:rsidRPr="00000000" w14:paraId="0000012D">
      <w:pPr>
        <w:widowControl w:val="1"/>
        <w:pBdr>
          <w:top w:space="0" w:sz="0" w:val="nil"/>
          <w:left w:space="0" w:sz="0" w:val="nil"/>
          <w:bottom w:space="0" w:sz="0" w:val="nil"/>
          <w:right w:space="0" w:sz="0" w:val="nil"/>
          <w:between w:space="0" w:sz="0" w:val="nil"/>
        </w:pBdr>
        <w:shd w:fill="ffffff" w:val="clea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2E">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если количество детей превышает 5 человек – </w:t>
      </w:r>
    </w:p>
    <w:p w:rsidR="00000000" w:rsidDel="00000000" w:rsidP="00000000" w:rsidRDefault="00000000" w:rsidRPr="00000000" w14:paraId="0000012F">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доплата 550 рублей/человек.</w:t>
      </w:r>
    </w:p>
    <w:p w:rsidR="00000000" w:rsidDel="00000000" w:rsidP="00000000" w:rsidRDefault="00000000" w:rsidRPr="00000000" w14:paraId="00000130">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31">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32">
      <w:pPr>
        <w:widowControl w:val="1"/>
        <w:pBdr>
          <w:top w:space="0" w:sz="0" w:val="nil"/>
          <w:left w:space="0" w:sz="0" w:val="nil"/>
          <w:bottom w:space="0" w:sz="0" w:val="nil"/>
          <w:right w:space="0" w:sz="0" w:val="nil"/>
          <w:between w:space="0" w:sz="0" w:val="nil"/>
        </w:pBdr>
        <w:shd w:fill="ffffff" w:val="clear"/>
        <w:spacing w:line="240" w:lineRule="auto"/>
        <w:ind w:left="330" w:firstLine="75"/>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ОНЛАЙН КУРСЫ ДЛЯ МАМ</w:t>
      </w:r>
    </w:p>
    <w:p w:rsidR="00000000" w:rsidDel="00000000" w:rsidP="00000000" w:rsidRDefault="00000000" w:rsidRPr="00000000" w14:paraId="00000133">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134">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Векторный психоанализ – 319 рублей</w:t>
      </w:r>
    </w:p>
    <w:p w:rsidR="00000000" w:rsidDel="00000000" w:rsidP="00000000" w:rsidRDefault="00000000" w:rsidRPr="00000000" w14:paraId="00000135">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136">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spacing w:line="276" w:lineRule="auto"/>
        <w:ind w:left="360" w:right="795"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2" w:customStyle="1">
    <w:name w:val="Table Normal"/>
    <w:tblPr>
      <w:tblCellMar>
        <w:top w:w="0.0" w:type="dxa"/>
        <w:left w:w="0.0" w:type="dxa"/>
        <w:bottom w:w="0.0" w:type="dxa"/>
        <w:right w:w="0.0" w:type="dxa"/>
      </w:tblCellMar>
    </w:tblPr>
  </w:style>
  <w:style w:type="table" w:styleId="af2" w:customStyle="1">
    <w:basedOn w:val="TableNormal2"/>
    <w:tblPr>
      <w:tblStyleRowBandSize w:val="1"/>
      <w:tblStyleColBandSize w:val="1"/>
      <w:tblCellMar>
        <w:left w:w="115.0" w:type="dxa"/>
        <w:right w:w="115.0" w:type="dxa"/>
      </w:tblCellMar>
    </w:tblPr>
  </w:style>
  <w:style w:type="table" w:styleId="af3" w:customStyle="1">
    <w:basedOn w:val="TableNormal2"/>
    <w:tblPr>
      <w:tblStyleRowBandSize w:val="1"/>
      <w:tblStyleColBandSize w:val="1"/>
      <w:tblCellMar>
        <w:left w:w="115.0" w:type="dxa"/>
        <w:right w:w="115.0" w:type="dxa"/>
      </w:tblCellMar>
    </w:tblPr>
  </w:style>
  <w:style w:type="table" w:styleId="af4" w:customStyle="1">
    <w:basedOn w:val="TableNormal2"/>
    <w:tblPr>
      <w:tblStyleRowBandSize w:val="1"/>
      <w:tblStyleColBandSize w:val="1"/>
      <w:tblCellMar>
        <w:left w:w="115.0" w:type="dxa"/>
        <w:right w:w="115.0" w:type="dxa"/>
      </w:tblCellMar>
    </w:tblPr>
  </w:style>
  <w:style w:type="table" w:styleId="af5" w:customStyle="1">
    <w:basedOn w:val="TableNormal2"/>
    <w:tblPr>
      <w:tblStyleRowBandSize w:val="1"/>
      <w:tblStyleColBandSize w:val="1"/>
      <w:tblCellMar>
        <w:left w:w="115.0" w:type="dxa"/>
        <w:right w:w="115.0" w:type="dxa"/>
      </w:tblCellMar>
    </w:tblPr>
  </w:style>
  <w:style w:type="table" w:styleId="af6" w:customStyle="1">
    <w:basedOn w:val="TableNormal2"/>
    <w:tblPr>
      <w:tblStyleRowBandSize w:val="1"/>
      <w:tblStyleColBandSize w:val="1"/>
      <w:tblCellMar>
        <w:left w:w="115.0" w:type="dxa"/>
        <w:right w:w="115.0" w:type="dxa"/>
      </w:tblCellMar>
    </w:tblPr>
  </w:style>
  <w:style w:type="table" w:styleId="af7" w:customStyle="1">
    <w:basedOn w:val="TableNormal2"/>
    <w:tblPr>
      <w:tblStyleRowBandSize w:val="1"/>
      <w:tblStyleColBandSize w:val="1"/>
      <w:tblCellMar>
        <w:left w:w="115.0" w:type="dxa"/>
        <w:right w:w="115.0" w:type="dxa"/>
      </w:tblCellMar>
    </w:tblPr>
  </w:style>
  <w:style w:type="table" w:styleId="af8" w:customStyle="1">
    <w:basedOn w:val="TableNormal2"/>
    <w:tblPr>
      <w:tblStyleRowBandSize w:val="1"/>
      <w:tblStyleColBandSize w:val="1"/>
      <w:tblCellMar>
        <w:left w:w="115.0" w:type="dxa"/>
        <w:right w:w="115.0" w:type="dxa"/>
      </w:tblCellMar>
    </w:tblPr>
  </w:style>
  <w:style w:type="table" w:styleId="af9" w:customStyle="1">
    <w:basedOn w:val="TableNormal2"/>
    <w:tblPr>
      <w:tblStyleRowBandSize w:val="1"/>
      <w:tblStyleColBandSize w:val="1"/>
      <w:tblCellMar>
        <w:left w:w="115.0" w:type="dxa"/>
        <w:right w:w="115.0" w:type="dxa"/>
      </w:tblCellMar>
    </w:tblPr>
  </w:style>
  <w:style w:type="table" w:styleId="afa" w:customStyle="1">
    <w:basedOn w:val="TableNormal2"/>
    <w:tblPr>
      <w:tblStyleRowBandSize w:val="1"/>
      <w:tblStyleColBandSize w:val="1"/>
      <w:tblCellMar>
        <w:left w:w="115.0" w:type="dxa"/>
        <w:right w:w="115.0" w:type="dxa"/>
      </w:tblCellMar>
    </w:tblPr>
  </w:style>
  <w:style w:type="paragraph" w:styleId="paragraph" w:customStyle="1">
    <w:name w:val="paragraph"/>
    <w:basedOn w:val="a"/>
    <w:rsid w:val="00545B4B"/>
    <w:pPr>
      <w:widowControl w:val="1"/>
      <w:spacing w:after="100" w:afterAutospacing="1" w:before="100" w:beforeAutospacing="1" w:line="240" w:lineRule="auto"/>
      <w:textAlignment w:val="auto"/>
      <w:outlineLvl w:val="9"/>
    </w:pPr>
    <w:rPr>
      <w:rFonts w:ascii="Times New Roman" w:cs="Times New Roman" w:eastAsia="Times New Roman" w:hAnsi="Times New Roman"/>
      <w:sz w:val="24"/>
      <w:szCs w:val="24"/>
      <w:lang w:bidi="ar-SA" w:eastAsia="ru-RU"/>
    </w:rPr>
  </w:style>
  <w:style w:type="character" w:styleId="normaltextrun" w:customStyle="1">
    <w:name w:val="normaltextrun"/>
    <w:rsid w:val="00545B4B"/>
  </w:style>
  <w:style w:type="character" w:styleId="eop" w:customStyle="1">
    <w:name w:val="eop"/>
    <w:rsid w:val="00545B4B"/>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tblPr>
      <w:tblStyleRowBandSize w:val="1"/>
      <w:tblStyleColBandSize w:val="1"/>
      <w:tblCellMar>
        <w:left w:w="115.0" w:type="dxa"/>
        <w:right w:w="115.0" w:type="dxa"/>
      </w:tblCellMar>
    </w:tblPr>
  </w:style>
  <w:style w:type="table" w:styleId="aff4" w:customStyle="1">
    <w:basedOn w:val="TableNormal1"/>
    <w:tblPr>
      <w:tblStyleRowBandSize w:val="1"/>
      <w:tblStyleColBandSize w:val="1"/>
      <w:tblCellMar>
        <w:left w:w="115.0" w:type="dxa"/>
        <w:right w:w="115.0" w:type="dxa"/>
      </w:tblCellMar>
    </w:tblPr>
  </w:style>
  <w:style w:type="table" w:styleId="aff5" w:customStyle="1">
    <w:basedOn w:val="TableNormal1"/>
    <w:tblPr>
      <w:tblStyleRowBandSize w:val="1"/>
      <w:tblStyleColBandSize w:val="1"/>
      <w:tblCellMar>
        <w:left w:w="115.0" w:type="dxa"/>
        <w:right w:w="115.0" w:type="dxa"/>
      </w:tblCellMar>
    </w:tblPr>
  </w:style>
  <w:style w:type="table" w:styleId="aff6" w:customStyle="1">
    <w:basedOn w:val="TableNormal1"/>
    <w:tblPr>
      <w:tblStyleRowBandSize w:val="1"/>
      <w:tblStyleColBandSize w:val="1"/>
      <w:tblCellMar>
        <w:left w:w="115.0" w:type="dxa"/>
        <w:right w:w="115.0" w:type="dxa"/>
      </w:tblCellMar>
    </w:tblPr>
  </w:style>
  <w:style w:type="table" w:styleId="aff7" w:customStyle="1">
    <w:basedOn w:val="TableNormal1"/>
    <w:tblPr>
      <w:tblStyleRowBandSize w:val="1"/>
      <w:tblStyleColBandSize w:val="1"/>
      <w:tblCellMar>
        <w:left w:w="115.0" w:type="dxa"/>
        <w:right w:w="115.0" w:type="dxa"/>
      </w:tblCellMar>
    </w:tblPr>
  </w:style>
  <w:style w:type="table" w:styleId="aff8" w:customStyle="1">
    <w:basedOn w:val="TableNormal1"/>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AEgIqOVvWT5+2J7Jok6T/W4Wuw==">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