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Хайров Никита Дмитриевич</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Хайров Никита Дмитриевич (ОГРНИП 321665800123690 , ИНН 663408879677)</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г. </w:t>
      </w:r>
      <w:r w:rsidDel="00000000" w:rsidR="00000000" w:rsidRPr="00000000">
        <w:rPr>
          <w:sz w:val="23"/>
          <w:szCs w:val="23"/>
          <w:highlight w:val="white"/>
          <w:rtl w:val="0"/>
        </w:rPr>
        <w:t xml:space="preserve">Новосибирск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г. </w:t>
      </w:r>
      <w:r w:rsidDel="00000000" w:rsidR="00000000" w:rsidRPr="00000000">
        <w:rPr>
          <w:sz w:val="23"/>
          <w:szCs w:val="23"/>
          <w:highlight w:val="white"/>
          <w:rtl w:val="0"/>
        </w:rPr>
        <w:t xml:space="preserve">Новосибирск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ригород) дополнительно оплачивается такси.</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hd w:fill="ffffff" w:val="clear"/>
        <w:spacing w:after="0" w:lineRule="auto"/>
        <w:ind w:left="142" w:firstLine="0"/>
        <w:jc w:val="both"/>
        <w:rPr>
          <w:sz w:val="24"/>
          <w:szCs w:val="24"/>
        </w:rPr>
      </w:pPr>
      <w:bookmarkStart w:colFirst="0" w:colLast="0" w:name="_heading=h.30j0zll" w:id="0"/>
      <w:bookmarkEnd w:id="0"/>
      <w:r w:rsidDel="00000000" w:rsidR="00000000" w:rsidRPr="00000000">
        <w:rPr>
          <w:sz w:val="24"/>
          <w:szCs w:val="24"/>
          <w:rtl w:val="0"/>
        </w:rPr>
        <w:t xml:space="preserve">Исполнитель: ИП Хайров Никита Дмитриевич., Юридический адрес: 623950, Свердловская область, г. Тавда, Максима Горького 112а, Почтовый адрес: 630030 г. Новосибирск ул. Первомайская д. 234 кв. 105, ОГРНИП 321665800123690, ИНН 663408879677, Банковские реквизиты: р/с 40802810200002450134, АО "ТИНЬКОФФ БАНК", БИК 044525974, к/с 30101810145250000974 , Тел. 89022672083.</w:t>
      </w:r>
    </w:p>
    <w:p w:rsidR="00000000" w:rsidDel="00000000" w:rsidP="00000000" w:rsidRDefault="00000000" w:rsidRPr="00000000" w14:paraId="00000089">
      <w:pPr>
        <w:widowControl w:val="0"/>
        <w:spacing w:after="120" w:before="120" w:lineRule="auto"/>
        <w:jc w:val="both"/>
        <w:rPr>
          <w:sz w:val="23"/>
          <w:szCs w:val="23"/>
          <w:highlight w:val="yellow"/>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460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560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660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12 600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10 000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12 000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20 000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24 000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10200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12600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3 000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8">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2"/>
            <w:bookmarkEnd w:id="2"/>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C">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D">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o3kYE5MHfedbAne1gRhvbgPMQ==">AMUW2mXm/nt4EMigkpwRvXzAcDtuPQouyttNTO/ZnXxpIuRLMkzXGv15jfOyrWkyZ7ub3QQ0sWosf0vc2fwyTyNpZRzeeQ9pm/98gZlYOL9sDC6JXqrET2R5L1H8o56AoqbpIAE5wADgWWICBx+usnKe2bYF7EOdyXPwR19pc25TdT0lR9Ks/uvmMpPC42DZVY4YME7Vyj1a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