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6"/>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sz w:val="32"/>
          <w:szCs w:val="32"/>
          <w:rtl w:val="0"/>
        </w:rPr>
        <w:t xml:space="preserve">2021 г</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ООО «ПКЦ «Твой Выбор».</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ООО «ПКЦ «Твой Выбор»</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(ОГРН 1187536005469, ИНН 7536173551)</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shd w:fill="ffffff" w:val="clear"/>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ООО ПКЦ «Твой Выбор».</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ООО «ПКЦ «Твой Выбор»</w:t>
      </w:r>
      <w:r w:rsidDel="00000000" w:rsidR="00000000" w:rsidRPr="00000000">
        <w:rPr>
          <w:rFonts w:ascii="Times New Roman" w:cs="Times New Roman" w:eastAsia="Times New Roman" w:hAnsi="Times New Roman"/>
          <w:sz w:val="28"/>
          <w:szCs w:val="28"/>
          <w:rtl w:val="0"/>
        </w:rPr>
        <w:t xml:space="preserve"> (ОГРН 1187536005469, ИНН 7536173551</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shd w:fill="ffffff" w:val="clear"/>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E">
      <w:pPr>
        <w:shd w:fill="ffffff" w:val="clear"/>
        <w:ind w:left="113" w:firstLine="454.0000000000000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ООО «ПКЦ «Твой Выбор»</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ООО «ПКЦ «Твой Выбор».</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ООО «ПКЦ «Твой Выбор» связывается с Заказчиком для конкретизации дальнейших действий.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142110, Московская область, г. Подольск, ул. Маштакова, д. 12, офис 437.</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Подольск,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Подольск (пригород) дополнительно оплачивается такси.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C">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 При оказании услуги «Сопровождение» дополнительно действуют следующие условия:</w:t>
      </w:r>
      <w:r w:rsidDel="00000000" w:rsidR="00000000" w:rsidRPr="00000000">
        <w:rPr>
          <w:rtl w:val="0"/>
        </w:rPr>
      </w:r>
    </w:p>
    <w:p w:rsidR="00000000" w:rsidDel="00000000" w:rsidP="00000000" w:rsidRDefault="00000000" w:rsidRPr="00000000" w14:paraId="0000008D">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8.4.1. Увеличение срока Заказа более чем на 10 минут тарифицируется как за 1 час.</w:t>
      </w:r>
      <w:r w:rsidDel="00000000" w:rsidR="00000000" w:rsidRPr="00000000">
        <w:rPr>
          <w:rtl w:val="0"/>
        </w:rPr>
      </w:r>
    </w:p>
    <w:p w:rsidR="00000000" w:rsidDel="00000000" w:rsidP="00000000" w:rsidRDefault="00000000" w:rsidRPr="00000000" w14:paraId="0000008E">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8.4.2. Заказчик дополнительно оплачивает такси в случае оказания Услуги за пределами города или если расстояние от адреса Заказчика, указанного в Заказе, составляет более 700 метров от остановки общественного транспорта.</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Реквизиты Исполнителя</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ООО «Профориентационный кадровый центр «Твой Выбор»</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Юридический адрес: 142110, Московская область, г. Подольск, ул. Маштакова, д. 12, офис 437 Почтовый адрес: 142110, Московская область, г. Подольск, ул. Маштакова, д. 12, офис 437 ОГРН </w:t>
      </w:r>
      <w:r w:rsidDel="00000000" w:rsidR="00000000" w:rsidRPr="00000000">
        <w:rPr>
          <w:rFonts w:ascii="Times New Roman" w:cs="Times New Roman" w:eastAsia="Times New Roman" w:hAnsi="Times New Roman"/>
          <w:sz w:val="28"/>
          <w:szCs w:val="28"/>
          <w:rtl w:val="0"/>
        </w:rPr>
        <w:t xml:space="preserve">1187536005469</w:t>
      </w:r>
      <w:r w:rsidDel="00000000" w:rsidR="00000000" w:rsidRPr="00000000">
        <w:rPr>
          <w:rFonts w:ascii="Times New Roman" w:cs="Times New Roman" w:eastAsia="Times New Roman" w:hAnsi="Times New Roman"/>
          <w:color w:val="000000"/>
          <w:sz w:val="28"/>
          <w:szCs w:val="28"/>
          <w:rtl w:val="0"/>
        </w:rPr>
        <w:t xml:space="preserve"> ИНН/КПП </w:t>
      </w:r>
      <w:r w:rsidDel="00000000" w:rsidR="00000000" w:rsidRPr="00000000">
        <w:rPr>
          <w:rFonts w:ascii="Times New Roman" w:cs="Times New Roman" w:eastAsia="Times New Roman" w:hAnsi="Times New Roman"/>
          <w:sz w:val="28"/>
          <w:szCs w:val="28"/>
          <w:rtl w:val="0"/>
        </w:rPr>
        <w:t xml:space="preserve">7536 173551/7536 0100</w:t>
      </w:r>
      <w:r w:rsidDel="00000000" w:rsidR="00000000" w:rsidRPr="00000000">
        <w:rPr>
          <w:rFonts w:ascii="Times New Roman" w:cs="Times New Roman" w:eastAsia="Times New Roman" w:hAnsi="Times New Roman"/>
          <w:color w:val="000000"/>
          <w:sz w:val="28"/>
          <w:szCs w:val="28"/>
          <w:rtl w:val="0"/>
        </w:rPr>
        <w:t xml:space="preserve"> Банковские реквизиты р/с 40702 810 1100 0051 9539 АО «Тинькофф Банк» ИНН 7710 140679 БИК 044525974 к/с 30101 810 1452 5000 0974 Тел. 7 (977) 289 09 90</w:t>
      </w:r>
    </w:p>
    <w:p w:rsidR="00000000" w:rsidDel="00000000" w:rsidP="00000000" w:rsidRDefault="00000000" w:rsidRPr="00000000" w14:paraId="000000A2">
      <w:pPr>
        <w:spacing w:line="240" w:lineRule="auto"/>
        <w:rPr>
          <w:rFonts w:ascii="Times New Roman" w:cs="Times New Roman" w:eastAsia="Times New Roman" w:hAnsi="Times New Roman"/>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A3">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4">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5">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6">
      <w:pPr>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A7">
      <w:pPr>
        <w:spacing w:line="240" w:lineRule="auto"/>
        <w:ind w:left="360" w:right="795"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РАЗОВОЕ ПОСЕЩЕНИЕ </w:t>
      </w:r>
    </w:p>
    <w:p w:rsidR="00000000" w:rsidDel="00000000" w:rsidP="00000000" w:rsidRDefault="00000000" w:rsidRPr="00000000" w14:paraId="000000A8">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час</w:t>
      </w:r>
    </w:p>
    <w:p w:rsidR="00000000" w:rsidDel="00000000" w:rsidP="00000000" w:rsidRDefault="00000000" w:rsidRPr="00000000" w14:paraId="000000A9">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«День» с 8.00 до 20.59</w:t>
      </w:r>
    </w:p>
    <w:p w:rsidR="00000000" w:rsidDel="00000000" w:rsidP="00000000" w:rsidRDefault="00000000" w:rsidRPr="00000000" w14:paraId="000000AA">
      <w:pPr>
        <w:spacing w:line="240" w:lineRule="auto"/>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530 </w:t>
            </w:r>
            <w:r w:rsidDel="00000000" w:rsidR="00000000" w:rsidRPr="00000000">
              <w:rPr>
                <w:rFonts w:ascii="Times New Roman" w:cs="Times New Roman" w:eastAsia="Times New Roman" w:hAnsi="Times New Roman"/>
                <w:color w:val="000000"/>
                <w:sz w:val="24"/>
                <w:szCs w:val="24"/>
                <w:rtl w:val="0"/>
              </w:rPr>
              <w:t xml:space="preserve"> руб.</w:t>
            </w:r>
          </w:p>
        </w:tc>
      </w:tr>
    </w:tbl>
    <w:p w:rsidR="00000000" w:rsidDel="00000000" w:rsidP="00000000" w:rsidRDefault="00000000" w:rsidRPr="00000000" w14:paraId="000000AF">
      <w:pPr>
        <w:spacing w:line="240" w:lineRule="auto"/>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0">
      <w:pPr>
        <w:spacing w:line="240" w:lineRule="auto"/>
        <w:ind w:left="360" w:right="795"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РАЗОВОЕ ПОСЕЩЕНИЕ </w:t>
      </w:r>
    </w:p>
    <w:p w:rsidR="00000000" w:rsidDel="00000000" w:rsidP="00000000" w:rsidRDefault="00000000" w:rsidRPr="00000000" w14:paraId="000000B1">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час</w:t>
      </w:r>
    </w:p>
    <w:p w:rsidR="00000000" w:rsidDel="00000000" w:rsidP="00000000" w:rsidRDefault="00000000" w:rsidRPr="00000000" w14:paraId="000000B2">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5">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line="240" w:lineRule="auto"/>
        <w:ind w:right="795"/>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обе стороны такси оплачивает клиент</w:t>
      </w:r>
    </w:p>
    <w:p w:rsidR="00000000" w:rsidDel="00000000" w:rsidP="00000000" w:rsidRDefault="00000000" w:rsidRPr="00000000" w14:paraId="000000B8">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A">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t xml:space="preserve">Тариф «День» с 8.00 до 20.59</w:t>
      </w:r>
      <w:r w:rsidDel="00000000" w:rsidR="00000000" w:rsidRPr="00000000">
        <w:rPr>
          <w:rtl w:val="0"/>
        </w:rPr>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7 200 </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w:t>
            </w:r>
            <w:r w:rsidDel="00000000" w:rsidR="00000000" w:rsidRPr="00000000">
              <w:rPr>
                <w:rFonts w:ascii="Times New Roman" w:cs="Times New Roman" w:eastAsia="Times New Roman" w:hAnsi="Times New Roman"/>
                <w:sz w:val="24"/>
                <w:szCs w:val="24"/>
                <w:highlight w:val="white"/>
                <w:rtl w:val="0"/>
              </w:rPr>
              <w:t xml:space="preserve">60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9 200</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w:t>
            </w:r>
            <w:r w:rsidDel="00000000" w:rsidR="00000000" w:rsidRPr="00000000">
              <w:rPr>
                <w:rFonts w:ascii="Times New Roman" w:cs="Times New Roman" w:eastAsia="Times New Roman" w:hAnsi="Times New Roman"/>
                <w:sz w:val="24"/>
                <w:szCs w:val="24"/>
                <w:highlight w:val="white"/>
                <w:rtl w:val="0"/>
              </w:rPr>
              <w:t xml:space="preserve">460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r>
    </w:tbl>
    <w:p w:rsidR="00000000" w:rsidDel="00000000" w:rsidP="00000000" w:rsidRDefault="00000000" w:rsidRPr="00000000" w14:paraId="000000C1">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line="240" w:lineRule="auto"/>
        <w:ind w:left="360" w:right="795"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АБОНЕМЕНТ «ПУТЕШЕСТВИЕ»</w:t>
      </w: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tabs>
                <w:tab w:val="left" w:pos="735"/>
                <w:tab w:val="center" w:pos="1487"/>
              </w:tabs>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4</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000</w:t>
            </w:r>
            <w:r w:rsidDel="00000000" w:rsidR="00000000" w:rsidRPr="00000000">
              <w:rPr>
                <w:rFonts w:ascii="Times New Roman" w:cs="Times New Roman" w:eastAsia="Times New Roman" w:hAnsi="Times New Roman"/>
                <w:color w:val="000000"/>
                <w:sz w:val="24"/>
                <w:szCs w:val="24"/>
                <w:highlight w:val="white"/>
                <w:rtl w:val="0"/>
              </w:rPr>
              <w:t xml:space="preserve"> руб.</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w:t>
            </w:r>
            <w:r w:rsidDel="00000000" w:rsidR="00000000" w:rsidRPr="00000000">
              <w:rPr>
                <w:rFonts w:ascii="Times New Roman" w:cs="Times New Roman" w:eastAsia="Times New Roman" w:hAnsi="Times New Roman"/>
                <w:sz w:val="24"/>
                <w:szCs w:val="24"/>
                <w:highlight w:val="white"/>
                <w:rtl w:val="0"/>
              </w:rPr>
              <w:t xml:space="preserve">50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8 000 </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w:t>
            </w:r>
            <w:r w:rsidDel="00000000" w:rsidR="00000000" w:rsidRPr="00000000">
              <w:rPr>
                <w:rFonts w:ascii="Times New Roman" w:cs="Times New Roman" w:eastAsia="Times New Roman" w:hAnsi="Times New Roman"/>
                <w:sz w:val="24"/>
                <w:szCs w:val="24"/>
                <w:highlight w:val="white"/>
                <w:rtl w:val="0"/>
              </w:rPr>
              <w:t xml:space="preserve">50)</w:t>
            </w:r>
            <w:r w:rsidDel="00000000" w:rsidR="00000000" w:rsidRPr="00000000">
              <w:rPr>
                <w:rtl w:val="0"/>
              </w:rPr>
            </w:r>
          </w:p>
        </w:tc>
      </w:tr>
    </w:tbl>
    <w:p w:rsidR="00000000" w:rsidDel="00000000" w:rsidP="00000000" w:rsidRDefault="00000000" w:rsidRPr="00000000" w14:paraId="000000CB">
      <w:pPr>
        <w:spacing w:line="240" w:lineRule="auto"/>
        <w:ind w:right="795"/>
        <w:rPr>
          <w:rFonts w:ascii="Times New Roman" w:cs="Times New Roman" w:eastAsia="Times New Roman" w:hAnsi="Times New Roman"/>
          <w:sz w:val="24"/>
          <w:szCs w:val="24"/>
        </w:rPr>
      </w:pPr>
      <w:bookmarkStart w:colFirst="0" w:colLast="0" w:name="_heading=h.1fob9te" w:id="1"/>
      <w:bookmarkEnd w:id="1"/>
      <w:r w:rsidDel="00000000" w:rsidR="00000000" w:rsidRPr="00000000">
        <w:rPr>
          <w:rtl w:val="0"/>
        </w:rPr>
      </w:r>
    </w:p>
    <w:p w:rsidR="00000000" w:rsidDel="00000000" w:rsidP="00000000" w:rsidRDefault="00000000" w:rsidRPr="00000000" w14:paraId="000000CC">
      <w:pPr>
        <w:spacing w:line="240" w:lineRule="auto"/>
        <w:ind w:left="360" w:right="795"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НЯНЯ-СПЕЦИАЛИСТ</w:t>
      </w:r>
    </w:p>
    <w:p w:rsidR="00000000" w:rsidDel="00000000" w:rsidP="00000000" w:rsidRDefault="00000000" w:rsidRPr="00000000" w14:paraId="000000CD">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час</w:t>
        <w:br w:type="textWrapping"/>
        <w:t xml:space="preserve">Тариф «День» с 8.00 до 20.59</w:t>
      </w:r>
    </w:p>
    <w:p w:rsidR="00000000" w:rsidDel="00000000" w:rsidP="00000000" w:rsidRDefault="00000000" w:rsidRPr="00000000" w14:paraId="000000CE">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4820.0" w:type="dxa"/>
        <w:jc w:val="left"/>
        <w:tblInd w:w="2263.0" w:type="dxa"/>
        <w:tblLayout w:type="fixed"/>
        <w:tblLook w:val="0400"/>
      </w:tblPr>
      <w:tblGrid>
        <w:gridCol w:w="2410"/>
        <w:gridCol w:w="2410"/>
        <w:tblGridChange w:id="0">
          <w:tblGrid>
            <w:gridCol w:w="2410"/>
            <w:gridCol w:w="2410"/>
          </w:tblGrid>
        </w:tblGridChange>
      </w:tblGrid>
      <w:tr>
        <w:trPr>
          <w:cantSplit w:val="0"/>
          <w:trHeight w:val="272"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CF">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0">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1">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3">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hd w:fill="ffffff" w:val="clear"/>
        <w:spacing w:line="240" w:lineRule="auto"/>
        <w:ind w:left="340" w:firstLine="86.00000000000001"/>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ОНЛАЙН-НЯНЯ</w:t>
      </w:r>
    </w:p>
    <w:p w:rsidR="00000000" w:rsidDel="00000000" w:rsidP="00000000" w:rsidRDefault="00000000" w:rsidRPr="00000000" w14:paraId="000000D6">
      <w:pPr>
        <w:shd w:fill="ffffff" w:val="clear"/>
        <w:spacing w:line="240" w:lineRule="auto"/>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1 час</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7">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9">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A">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B">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Услуга «СОПРОВОЖДЕНИЕ»</w:t>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1 часа</w:t>
        <w:br w:type="textWrapping"/>
        <w:t xml:space="preserve">Тариф «День» с 8.00 до 20.59</w:t>
      </w: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7"/>
        <w:tblW w:w="5526.0" w:type="dxa"/>
        <w:jc w:val="left"/>
        <w:tblInd w:w="2139.0" w:type="dxa"/>
        <w:tblLayout w:type="fixed"/>
        <w:tblLook w:val="0400"/>
      </w:tblPr>
      <w:tblGrid>
        <w:gridCol w:w="2835"/>
        <w:gridCol w:w="2691"/>
        <w:tblGridChange w:id="0">
          <w:tblGrid>
            <w:gridCol w:w="2835"/>
            <w:gridCol w:w="2691"/>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E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left="360" w:right="795"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НЯНЯ НА ПРАЗДНИКИ</w:t>
      </w:r>
    </w:p>
    <w:p w:rsidR="00000000" w:rsidDel="00000000" w:rsidP="00000000" w:rsidRDefault="00000000" w:rsidRPr="00000000" w14:paraId="000000EA">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B">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Мастер-классы </w:t>
      </w:r>
    </w:p>
    <w:p w:rsidR="00000000" w:rsidDel="00000000" w:rsidP="00000000" w:rsidRDefault="00000000" w:rsidRPr="00000000" w14:paraId="000000EC">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ED">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E">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spacing w:line="240" w:lineRule="auto"/>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0">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2">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3">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НОВОГОДНИЕ ЦЕНЫ (с 30.12.21г. по 09.01.22 г.)</w:t>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D">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«День» с 8.00 до 20.59</w:t>
      </w:r>
    </w:p>
    <w:p w:rsidR="00000000" w:rsidDel="00000000" w:rsidP="00000000" w:rsidRDefault="00000000" w:rsidRPr="00000000" w14:paraId="000000FE">
      <w:pPr>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час</w:t>
      </w:r>
    </w:p>
    <w:tbl>
      <w:tblPr>
        <w:tblStyle w:val="Table8"/>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710</w:t>
            </w:r>
            <w:r w:rsidDel="00000000" w:rsidR="00000000" w:rsidRPr="00000000">
              <w:rPr>
                <w:rFonts w:ascii="Times New Roman" w:cs="Times New Roman" w:eastAsia="Times New Roman" w:hAnsi="Times New Roman"/>
                <w:color w:val="000000"/>
                <w:sz w:val="24"/>
                <w:szCs w:val="24"/>
                <w:rtl w:val="0"/>
              </w:rPr>
              <w:t xml:space="preserve"> руб.</w:t>
            </w:r>
          </w:p>
        </w:tc>
      </w:tr>
    </w:tbl>
    <w:p w:rsidR="00000000" w:rsidDel="00000000" w:rsidP="00000000" w:rsidRDefault="00000000" w:rsidRPr="00000000" w14:paraId="00000103">
      <w:pPr>
        <w:spacing w:line="240" w:lineRule="auto"/>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«Ночь» с 21.00 до 07.59</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795"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w:t>
      </w:r>
    </w:p>
    <w:tbl>
      <w:tblPr>
        <w:tblStyle w:val="Table9"/>
        <w:tblW w:w="5164.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705"/>
        <w:gridCol w:w="2459"/>
        <w:tblGridChange w:id="0">
          <w:tblGrid>
            <w:gridCol w:w="2705"/>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8">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950 руб.</w:t>
            </w:r>
          </w:p>
        </w:tc>
      </w:tr>
    </w:tbl>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spacing w:line="240" w:lineRule="auto"/>
        <w:ind w:right="795"/>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обе стороны такси оплачивает клиент</w:t>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Новогодняя ночь (с 20.00 31.12.21 г. по 08.00 01.01.22 г.)</w:t>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час</w:t>
      </w:r>
    </w:p>
    <w:tbl>
      <w:tblPr>
        <w:tblStyle w:val="Table10"/>
        <w:tblW w:w="5164.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705"/>
        <w:gridCol w:w="2459"/>
        <w:tblGridChange w:id="0">
          <w:tblGrid>
            <w:gridCol w:w="2705"/>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0">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line="240" w:lineRule="auto"/>
              <w:ind w:left="360" w:firstLine="0"/>
              <w:jc w:val="center"/>
              <w:rPr>
                <w:rFonts w:ascii="Times New Roman" w:cs="Times New Roman" w:eastAsia="Times New Roman" w:hAnsi="Times New Roman"/>
                <w:sz w:val="24"/>
                <w:szCs w:val="24"/>
              </w:rPr>
            </w:pPr>
            <w:bookmarkStart w:colFirst="0" w:colLast="0" w:name="_heading=h.gjdgxs" w:id="2"/>
            <w:bookmarkEnd w:id="2"/>
            <w:r w:rsidDel="00000000" w:rsidR="00000000" w:rsidRPr="00000000">
              <w:rPr>
                <w:rFonts w:ascii="Times New Roman" w:cs="Times New Roman" w:eastAsia="Times New Roman" w:hAnsi="Times New Roman"/>
                <w:sz w:val="24"/>
                <w:szCs w:val="24"/>
                <w:rtl w:val="0"/>
              </w:rPr>
              <w:t xml:space="preserve">1250 руб.</w:t>
            </w:r>
          </w:p>
        </w:tc>
      </w:tr>
    </w:tbl>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rtl w:val="0"/>
        </w:rPr>
      </w:r>
    </w:p>
    <w:p w:rsidR="00000000" w:rsidDel="00000000" w:rsidP="00000000" w:rsidRDefault="00000000" w:rsidRPr="00000000" w14:paraId="0000011C">
      <w:pPr>
        <w:spacing w:line="276" w:lineRule="auto"/>
        <w:ind w:left="0" w:right="795" w:firstLine="0"/>
        <w:jc w:val="left"/>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6">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tblPr>
      <w:tblCellMar>
        <w:top w:w="0.0" w:type="dxa"/>
        <w:left w:w="0.0" w:type="dxa"/>
        <w:bottom w:w="0.0" w:type="dxa"/>
        <w:right w:w="0.0" w:type="dxa"/>
      </w:tblCellMar>
    </w:tblPr>
  </w:style>
  <w:style w:type="table" w:styleId="af2" w:customStyle="1">
    <w:basedOn w:val="TableNormal1"/>
    <w:tblPr>
      <w:tblStyleRowBandSize w:val="1"/>
      <w:tblStyleColBandSize w:val="1"/>
      <w:tblCellMar>
        <w:top w:w="0.0" w:type="dxa"/>
        <w:left w:w="115.0" w:type="dxa"/>
        <w:bottom w:w="0.0" w:type="dxa"/>
        <w:right w:w="115.0" w:type="dxa"/>
      </w:tblCellMar>
    </w:tblPr>
  </w:style>
  <w:style w:type="table" w:styleId="af3" w:customStyle="1">
    <w:basedOn w:val="TableNormal1"/>
    <w:tblPr>
      <w:tblStyleRowBandSize w:val="1"/>
      <w:tblStyleColBandSize w:val="1"/>
      <w:tblCellMar>
        <w:top w:w="0.0" w:type="dxa"/>
        <w:left w:w="115.0" w:type="dxa"/>
        <w:bottom w:w="0.0" w:type="dxa"/>
        <w:right w:w="115.0" w:type="dxa"/>
      </w:tblCellMar>
    </w:tblPr>
  </w:style>
  <w:style w:type="table" w:styleId="af4" w:customStyle="1">
    <w:basedOn w:val="TableNormal1"/>
    <w:tblPr>
      <w:tblStyleRowBandSize w:val="1"/>
      <w:tblStyleColBandSize w:val="1"/>
      <w:tblCellMar>
        <w:top w:w="0.0" w:type="dxa"/>
        <w:left w:w="115.0" w:type="dxa"/>
        <w:bottom w:w="0.0" w:type="dxa"/>
        <w:right w:w="115.0" w:type="dxa"/>
      </w:tblCellMar>
    </w:tblPr>
  </w:style>
  <w:style w:type="table" w:styleId="af5" w:customStyle="1">
    <w:basedOn w:val="TableNormal1"/>
    <w:tblPr>
      <w:tblStyleRowBandSize w:val="1"/>
      <w:tblStyleColBandSize w:val="1"/>
      <w:tblCellMar>
        <w:top w:w="0.0" w:type="dxa"/>
        <w:left w:w="115.0" w:type="dxa"/>
        <w:bottom w:w="0.0" w:type="dxa"/>
        <w:right w:w="115.0" w:type="dxa"/>
      </w:tblCellMar>
    </w:tblPr>
  </w:style>
  <w:style w:type="table" w:styleId="af6" w:customStyle="1">
    <w:basedOn w:val="TableNormal1"/>
    <w:tblPr>
      <w:tblStyleRowBandSize w:val="1"/>
      <w:tblStyleColBandSize w:val="1"/>
      <w:tblCellMar>
        <w:top w:w="0.0" w:type="dxa"/>
        <w:left w:w="115.0" w:type="dxa"/>
        <w:bottom w:w="0.0" w:type="dxa"/>
        <w:right w:w="115.0" w:type="dxa"/>
      </w:tblCellMar>
    </w:tblPr>
  </w:style>
  <w:style w:type="table" w:styleId="af7" w:customStyle="1">
    <w:basedOn w:val="TableNormal1"/>
    <w:tblPr>
      <w:tblStyleRowBandSize w:val="1"/>
      <w:tblStyleColBandSize w:val="1"/>
      <w:tblCellMar>
        <w:top w:w="0.0" w:type="dxa"/>
        <w:left w:w="115.0" w:type="dxa"/>
        <w:bottom w:w="0.0" w:type="dxa"/>
        <w:right w:w="115.0" w:type="dxa"/>
      </w:tblCellMar>
    </w:tblPr>
  </w:style>
  <w:style w:type="table" w:styleId="af8" w:customStyle="1">
    <w:basedOn w:val="TableNormal1"/>
    <w:tblPr>
      <w:tblStyleRowBandSize w:val="1"/>
      <w:tblStyleColBandSize w:val="1"/>
      <w:tblCellMar>
        <w:top w:w="0.0" w:type="dxa"/>
        <w:left w:w="115.0" w:type="dxa"/>
        <w:bottom w:w="0.0" w:type="dxa"/>
        <w:right w:w="115.0" w:type="dxa"/>
      </w:tblCellMar>
    </w:tblPr>
  </w:style>
  <w:style w:type="table" w:styleId="af9" w:customStyle="1">
    <w:basedOn w:val="TableNormal1"/>
    <w:tblPr>
      <w:tblStyleRowBandSize w:val="1"/>
      <w:tblStyleColBandSize w:val="1"/>
      <w:tblCellMar>
        <w:top w:w="0.0" w:type="dxa"/>
        <w:left w:w="115.0" w:type="dxa"/>
        <w:bottom w:w="0.0" w:type="dxa"/>
        <w:right w:w="115.0" w:type="dxa"/>
      </w:tblCellMar>
    </w:tblPr>
  </w:style>
  <w:style w:type="table" w:styleId="afa" w:customStyle="1">
    <w:basedOn w:val="TableNormal1"/>
    <w:tblPr>
      <w:tblStyleRowBandSize w:val="1"/>
      <w:tblStyleColBandSize w:val="1"/>
      <w:tblCellMar>
        <w:top w:w="0.0" w:type="dxa"/>
        <w:left w:w="115.0" w:type="dxa"/>
        <w:bottom w:w="0.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tblPr>
      <w:tblStyleRowBandSize w:val="1"/>
      <w:tblStyleColBandSize w:val="1"/>
      <w:tblCellMar>
        <w:top w:w="0.0" w:type="dxa"/>
        <w:left w:w="115.0" w:type="dxa"/>
        <w:bottom w:w="0.0" w:type="dxa"/>
        <w:right w:w="115.0" w:type="dxa"/>
      </w:tblCellMar>
    </w:tblPr>
  </w:style>
  <w:style w:type="table" w:styleId="afd" w:customStyle="1">
    <w:basedOn w:val="TableNormal0"/>
    <w:tblPr>
      <w:tblStyleRowBandSize w:val="1"/>
      <w:tblStyleColBandSize w:val="1"/>
      <w:tblCellMar>
        <w:top w:w="0.0" w:type="dxa"/>
        <w:left w:w="115.0" w:type="dxa"/>
        <w:bottom w:w="0.0" w:type="dxa"/>
        <w:right w:w="115.0" w:type="dxa"/>
      </w:tblCellMar>
    </w:tblPr>
  </w:style>
  <w:style w:type="table" w:styleId="afe" w:customStyle="1">
    <w:basedOn w:val="TableNormal0"/>
    <w:tblPr>
      <w:tblStyleRowBandSize w:val="1"/>
      <w:tblStyleColBandSize w:val="1"/>
      <w:tblCellMar>
        <w:top w:w="0.0" w:type="dxa"/>
        <w:left w:w="115.0" w:type="dxa"/>
        <w:bottom w:w="0.0" w:type="dxa"/>
        <w:right w:w="115.0" w:type="dxa"/>
      </w:tblCellMar>
    </w:tblPr>
  </w:style>
  <w:style w:type="table" w:styleId="aff" w:customStyle="1">
    <w:basedOn w:val="TableNormal0"/>
    <w:tblPr>
      <w:tblStyleRowBandSize w:val="1"/>
      <w:tblStyleColBandSize w:val="1"/>
      <w:tblCellMar>
        <w:top w:w="0.0" w:type="dxa"/>
        <w:left w:w="115.0" w:type="dxa"/>
        <w:bottom w:w="0.0" w:type="dxa"/>
        <w:right w:w="115.0" w:type="dxa"/>
      </w:tblCellMar>
    </w:tblPr>
  </w:style>
  <w:style w:type="table" w:styleId="aff0"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LOQ42coMO+gSR2saIG+OUTgQQ==">AMUW2mUCy1qrlGlwSNmiWduAUjut6C3rUjQRxINohEMJeolSMP61jTT8sqZr2CcX07kMvj+7gitfxorq1pDhTaSK4aw3gs9Rd4MlMENMoMk5s1DkJYhkUdKqa+y2XRta7h+OQBwIPVnlH/VMK6T4EmAcQCzUFr1iNw==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