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индивидуальному предпринимателю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Ашировой Альфие Рзабековне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ИНН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301728106700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ОГРНИП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323631200014894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р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 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msk_zayavki@nananachac.ru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sk_zayavki@nananachac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oNETbC4OhN6yjV7yFqWcfpDq2g==">CgMxLjAyCGguZ2pkZ3hzOAByITFwdnhpLVBsQ2JybENveHBZS00tZlpGRTFWV01ZLTdtUQ==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