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28.08.2022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sz w:val="24"/>
          <w:szCs w:val="24"/>
          <w:rtl w:val="0"/>
        </w:rPr>
        <w:t xml:space="preserve">Внимательно ознакомьтесь с текстом публичной оферты, и, если вы не согласны с каким-либо пунк</w:t>
      </w:r>
      <w:r w:rsidDel="00000000" w:rsidR="00000000" w:rsidRPr="00000000">
        <w:rPr>
          <w:sz w:val="24"/>
          <w:szCs w:val="24"/>
          <w:highlight w:val="white"/>
          <w:rtl w:val="0"/>
        </w:rPr>
        <w:t xml:space="preserve">том оферты, Вам предлагается отказаться от использования Услуг, предоставляемых ИП Балашова Елена Николаевна.</w:t>
      </w:r>
      <w:r w:rsidDel="00000000" w:rsidR="00000000" w:rsidRPr="00000000">
        <w:rPr>
          <w:rtl w:val="0"/>
        </w:rPr>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highlight w:val="white"/>
          <w:rtl w:val="0"/>
        </w:rPr>
        <w:t xml:space="preserve">Настоящий публичный договор (далее – «Оферта» или «Договор») представляет собой официальное предложение ИП Балашова Елена Николаевна (ОГРН: 322508100022282, ИНН 501304586689) (далее именуемый(-ая) «Исполнитель») на оказание услуг по уходу за ребенком. Перечень услуг приведен в приложении № 1 к настоящему договору – Прейскуранте ус</w:t>
      </w:r>
      <w:r w:rsidDel="00000000" w:rsidR="00000000" w:rsidRPr="00000000">
        <w:rPr>
          <w:sz w:val="24"/>
          <w:szCs w:val="24"/>
          <w:rtl w:val="0"/>
        </w:rPr>
        <w:t xml:space="preserve">луг.</w:t>
      </w: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4"/>
          <w:szCs w:val="24"/>
        </w:rPr>
      </w:pPr>
      <w:r w:rsidDel="00000000" w:rsidR="00000000" w:rsidRPr="00000000">
        <w:rPr>
          <w:sz w:val="24"/>
          <w:szCs w:val="24"/>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4"/>
          <w:szCs w:val="24"/>
        </w:rPr>
      </w:pPr>
      <w:r w:rsidDel="00000000" w:rsidR="00000000" w:rsidRPr="00000000">
        <w:rPr>
          <w:sz w:val="24"/>
          <w:szCs w:val="24"/>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4"/>
          <w:szCs w:val="24"/>
        </w:rPr>
      </w:pPr>
      <w:r w:rsidDel="00000000" w:rsidR="00000000" w:rsidRPr="00000000">
        <w:rPr>
          <w:sz w:val="24"/>
          <w:szCs w:val="24"/>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4"/>
          <w:szCs w:val="24"/>
        </w:rPr>
      </w:pPr>
      <w:r w:rsidDel="00000000" w:rsidR="00000000" w:rsidRPr="00000000">
        <w:rPr>
          <w:sz w:val="24"/>
          <w:szCs w:val="24"/>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4"/>
          <w:szCs w:val="24"/>
        </w:rPr>
      </w:pPr>
      <w:r w:rsidDel="00000000" w:rsidR="00000000" w:rsidRPr="00000000">
        <w:rPr>
          <w:sz w:val="24"/>
          <w:szCs w:val="24"/>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4"/>
          <w:szCs w:val="24"/>
        </w:rPr>
      </w:pPr>
      <w:r w:rsidDel="00000000" w:rsidR="00000000" w:rsidRPr="00000000">
        <w:rPr>
          <w:sz w:val="24"/>
          <w:szCs w:val="24"/>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4"/>
          <w:szCs w:val="24"/>
        </w:rPr>
      </w:pPr>
      <w:r w:rsidDel="00000000" w:rsidR="00000000" w:rsidRPr="00000000">
        <w:rPr>
          <w:sz w:val="24"/>
          <w:szCs w:val="24"/>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4"/>
          <w:szCs w:val="24"/>
        </w:rPr>
      </w:pPr>
      <w:r w:rsidDel="00000000" w:rsidR="00000000" w:rsidRPr="00000000">
        <w:rPr>
          <w:sz w:val="24"/>
          <w:szCs w:val="24"/>
          <w:rtl w:val="0"/>
        </w:rPr>
        <w:t xml:space="preserve">Сайт – интернет сайт: </w:t>
      </w:r>
      <w:hyperlink r:id="rId7">
        <w:r w:rsidDel="00000000" w:rsidR="00000000" w:rsidRPr="00000000">
          <w:rPr>
            <w:color w:val="0563c1"/>
            <w:sz w:val="24"/>
            <w:szCs w:val="24"/>
            <w:u w:val="single"/>
            <w:rtl w:val="0"/>
          </w:rPr>
          <w:t xml:space="preserve">https://nanana4ac.ru</w:t>
        </w:r>
      </w:hyperlink>
      <w:r w:rsidDel="00000000" w:rsidR="00000000" w:rsidRPr="00000000">
        <w:rPr>
          <w:sz w:val="24"/>
          <w:szCs w:val="24"/>
          <w:rtl w:val="0"/>
        </w:rPr>
        <w:t xml:space="preserve">.</w:t>
      </w:r>
    </w:p>
    <w:p w:rsidR="00000000" w:rsidDel="00000000" w:rsidP="00000000" w:rsidRDefault="00000000" w:rsidRPr="00000000" w14:paraId="00000012">
      <w:pPr>
        <w:widowControl w:val="0"/>
        <w:spacing w:after="120" w:before="120" w:lineRule="auto"/>
        <w:ind w:firstLine="284"/>
        <w:jc w:val="both"/>
        <w:rPr>
          <w:sz w:val="24"/>
          <w:szCs w:val="24"/>
        </w:rPr>
      </w:pPr>
      <w:r w:rsidDel="00000000" w:rsidR="00000000" w:rsidRPr="00000000">
        <w:rPr>
          <w:sz w:val="24"/>
          <w:szCs w:val="24"/>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4"/>
          <w:szCs w:val="24"/>
        </w:rPr>
      </w:pPr>
      <w:r w:rsidDel="00000000" w:rsidR="00000000" w:rsidRPr="00000000">
        <w:rPr>
          <w:sz w:val="24"/>
          <w:szCs w:val="24"/>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4"/>
          <w:szCs w:val="24"/>
        </w:rPr>
      </w:pPr>
      <w:r w:rsidDel="00000000" w:rsidR="00000000" w:rsidRPr="00000000">
        <w:rPr>
          <w:sz w:val="24"/>
          <w:szCs w:val="24"/>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4"/>
          <w:szCs w:val="24"/>
        </w:rPr>
      </w:pPr>
      <w:r w:rsidDel="00000000" w:rsidR="00000000" w:rsidRPr="00000000">
        <w:rPr>
          <w:sz w:val="24"/>
          <w:szCs w:val="24"/>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4"/>
          <w:szCs w:val="24"/>
        </w:rPr>
      </w:pPr>
      <w:r w:rsidDel="00000000" w:rsidR="00000000" w:rsidRPr="00000000">
        <w:rPr>
          <w:sz w:val="24"/>
          <w:szCs w:val="24"/>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4"/>
          <w:szCs w:val="24"/>
        </w:rPr>
      </w:pPr>
      <w:r w:rsidDel="00000000" w:rsidR="00000000" w:rsidRPr="00000000">
        <w:rPr>
          <w:sz w:val="24"/>
          <w:szCs w:val="24"/>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4"/>
          <w:szCs w:val="24"/>
        </w:rPr>
      </w:pPr>
      <w:r w:rsidDel="00000000" w:rsidR="00000000" w:rsidRPr="00000000">
        <w:rPr>
          <w:sz w:val="24"/>
          <w:szCs w:val="24"/>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4"/>
          <w:szCs w:val="24"/>
        </w:rPr>
      </w:pPr>
      <w:r w:rsidDel="00000000" w:rsidR="00000000" w:rsidRPr="00000000">
        <w:rPr>
          <w:sz w:val="24"/>
          <w:szCs w:val="24"/>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4"/>
          <w:szCs w:val="24"/>
        </w:rPr>
      </w:pPr>
      <w:r w:rsidDel="00000000" w:rsidR="00000000" w:rsidRPr="00000000">
        <w:rPr>
          <w:sz w:val="24"/>
          <w:szCs w:val="24"/>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spacing w:after="120" w:before="120" w:lineRule="auto"/>
        <w:ind w:firstLine="283.464566929133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283.464566929133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283.464566929133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283.464566929133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283.464566929133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283.464566929133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283.464566929133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283.464566929133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283.464566929133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283.464566929133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283.464566929133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4"/>
          <w:szCs w:val="24"/>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Обязанности Исполнителя</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4"/>
          <w:szCs w:val="24"/>
        </w:rPr>
      </w:pPr>
      <w:r w:rsidDel="00000000" w:rsidR="00000000" w:rsidRPr="00000000">
        <w:rPr>
          <w:sz w:val="24"/>
          <w:szCs w:val="24"/>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Оплата услуг</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4"/>
          <w:szCs w:val="24"/>
        </w:rPr>
      </w:pPr>
      <w:r w:rsidDel="00000000" w:rsidR="00000000" w:rsidRPr="00000000">
        <w:rPr>
          <w:sz w:val="24"/>
          <w:szCs w:val="24"/>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4"/>
          <w:szCs w:val="24"/>
        </w:rPr>
      </w:pPr>
      <w:r w:rsidDel="00000000" w:rsidR="00000000" w:rsidRPr="00000000">
        <w:rPr>
          <w:sz w:val="24"/>
          <w:szCs w:val="24"/>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4"/>
          <w:szCs w:val="24"/>
        </w:rPr>
      </w:pPr>
      <w:r w:rsidDel="00000000" w:rsidR="00000000" w:rsidRPr="00000000">
        <w:rPr>
          <w:sz w:val="24"/>
          <w:szCs w:val="24"/>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4"/>
          <w:szCs w:val="24"/>
        </w:rPr>
      </w:pPr>
      <w:r w:rsidDel="00000000" w:rsidR="00000000" w:rsidRPr="00000000">
        <w:rPr>
          <w:sz w:val="24"/>
          <w:szCs w:val="24"/>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4"/>
          <w:szCs w:val="24"/>
        </w:rPr>
      </w:pPr>
      <w:r w:rsidDel="00000000" w:rsidR="00000000" w:rsidRPr="00000000">
        <w:rPr>
          <w:sz w:val="24"/>
          <w:szCs w:val="24"/>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4"/>
          <w:szCs w:val="24"/>
        </w:rPr>
      </w:pPr>
      <w:r w:rsidDel="00000000" w:rsidR="00000000" w:rsidRPr="00000000">
        <w:rPr>
          <w:sz w:val="24"/>
          <w:szCs w:val="24"/>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4"/>
          <w:szCs w:val="24"/>
        </w:rPr>
      </w:pPr>
      <w:r w:rsidDel="00000000" w:rsidR="00000000" w:rsidRPr="00000000">
        <w:rPr>
          <w:sz w:val="24"/>
          <w:szCs w:val="24"/>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4"/>
          <w:szCs w:val="24"/>
        </w:rPr>
      </w:pPr>
      <w:r w:rsidDel="00000000" w:rsidR="00000000" w:rsidRPr="00000000">
        <w:rPr>
          <w:sz w:val="24"/>
          <w:szCs w:val="24"/>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Транспорт</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 оформле</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нии заказа на тариф «День» (с 08-00 до 20-59), и в пределах транспортной развязки г. </w:t>
      </w:r>
      <w:r w:rsidDel="00000000" w:rsidR="00000000" w:rsidRPr="00000000">
        <w:rPr>
          <w:sz w:val="24"/>
          <w:szCs w:val="24"/>
          <w:highlight w:val="white"/>
          <w:rtl w:val="0"/>
        </w:rPr>
        <w:t xml:space="preserve">Раменское</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w:t>
      </w:r>
      <w:r w:rsidDel="00000000" w:rsidR="00000000" w:rsidRPr="00000000">
        <w:rPr>
          <w:sz w:val="24"/>
          <w:szCs w:val="24"/>
          <w:highlight w:val="white"/>
          <w:rtl w:val="0"/>
        </w:rPr>
        <w:t xml:space="preserve">г. Раменское</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(пригород) дополнительно оплачивается такси.</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Ответственность</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4"/>
          <w:szCs w:val="24"/>
        </w:rPr>
      </w:pPr>
      <w:r w:rsidDel="00000000" w:rsidR="00000000" w:rsidRPr="00000000">
        <w:rPr>
          <w:i w:val="1"/>
          <w:sz w:val="24"/>
          <w:szCs w:val="24"/>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«УК НЯНЯ НА ЧАС»</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8"/>
          <w:szCs w:val="28"/>
          <w:highlight w:val="white"/>
          <w:vertAlign w:val="baseline"/>
        </w:rPr>
      </w:pPr>
      <w:r w:rsidDel="00000000" w:rsidR="00000000" w:rsidRPr="00000000">
        <w:rPr>
          <w:rFonts w:ascii="Arial" w:cs="Arial" w:eastAsia="Arial" w:hAnsi="Arial"/>
          <w:b w:val="0"/>
          <w:i w:val="0"/>
          <w:smallCaps w:val="0"/>
          <w:strike w:val="0"/>
          <w:color w:val="000000"/>
          <w:sz w:val="28"/>
          <w:szCs w:val="28"/>
          <w:highlight w:val="white"/>
          <w:u w:val="none"/>
          <w:vertAlign w:val="baseline"/>
          <w:rtl w:val="0"/>
        </w:rPr>
        <w:t xml:space="preserve">Реквизиты Исполнителя:</w:t>
      </w:r>
    </w:p>
    <w:p w:rsidR="00000000" w:rsidDel="00000000" w:rsidP="00000000" w:rsidRDefault="00000000" w:rsidRPr="00000000" w14:paraId="00000086">
      <w:pPr>
        <w:widowControl w:val="0"/>
        <w:spacing w:after="0" w:before="240" w:lineRule="auto"/>
        <w:jc w:val="both"/>
        <w:rPr>
          <w:sz w:val="24"/>
          <w:szCs w:val="24"/>
          <w:highlight w:val="white"/>
        </w:rPr>
      </w:pPr>
      <w:r w:rsidDel="00000000" w:rsidR="00000000" w:rsidRPr="00000000">
        <w:rPr>
          <w:sz w:val="24"/>
          <w:szCs w:val="24"/>
          <w:highlight w:val="white"/>
          <w:rtl w:val="0"/>
        </w:rPr>
        <w:t xml:space="preserve">Исполнитель: ИП Балашова Елена Николаевна                </w:t>
        <w:tab/>
      </w:r>
    </w:p>
    <w:p w:rsidR="00000000" w:rsidDel="00000000" w:rsidP="00000000" w:rsidRDefault="00000000" w:rsidRPr="00000000" w14:paraId="00000087">
      <w:pPr>
        <w:widowControl w:val="0"/>
        <w:spacing w:after="120" w:before="120" w:lineRule="auto"/>
        <w:jc w:val="both"/>
        <w:rPr>
          <w:sz w:val="24"/>
          <w:szCs w:val="24"/>
          <w:highlight w:val="white"/>
        </w:rPr>
      </w:pPr>
      <w:r w:rsidDel="00000000" w:rsidR="00000000" w:rsidRPr="00000000">
        <w:rPr>
          <w:sz w:val="24"/>
          <w:szCs w:val="24"/>
          <w:highlight w:val="white"/>
          <w:rtl w:val="0"/>
        </w:rPr>
        <w:t xml:space="preserve">ОГРН: 322508100022282, ИНН 501304586689 Юридический адрес:  Россия, Московская область, Московская область, г.о. Раменский, д. Дементьево ул. Центральная д.53, почтовый адрес: Россия, Московская область, Московская область, г.о. Раменский, д. Дементьево д.53, Р/сч:  40802 810 3000 0301 8776, АО «Тинькофф Банк» БИК: 044525974 Тел./факс: +79015389275</w:t>
      </w:r>
    </w:p>
    <w:p w:rsidR="00000000" w:rsidDel="00000000" w:rsidP="00000000" w:rsidRDefault="00000000" w:rsidRPr="00000000" w14:paraId="00000088">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89">
      <w:pPr>
        <w:widowControl w:val="0"/>
        <w:spacing w:after="120" w:before="120" w:lineRule="auto"/>
        <w:jc w:val="both"/>
        <w:rPr>
          <w:sz w:val="24"/>
          <w:szCs w:val="24"/>
          <w:highlight w:val="yellow"/>
        </w:rPr>
        <w:sectPr>
          <w:pgSz w:h="16838" w:w="11906" w:orient="portrait"/>
          <w:pgMar w:bottom="851" w:top="851" w:left="1134" w:right="851" w:header="709" w:footer="709"/>
          <w:pgNumType w:start="1"/>
        </w:sectPr>
      </w:pPr>
      <w:r w:rsidDel="00000000" w:rsidR="00000000" w:rsidRPr="00000000">
        <w:rPr>
          <w:rtl w:val="0"/>
        </w:rPr>
      </w:r>
    </w:p>
    <w:p w:rsidR="00000000" w:rsidDel="00000000" w:rsidP="00000000" w:rsidRDefault="00000000" w:rsidRPr="00000000" w14:paraId="0000008A">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B">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C">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91">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2">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after="0" w:line="240" w:lineRule="auto"/>
              <w:jc w:val="center"/>
              <w:rPr>
                <w:i w:val="1"/>
                <w:sz w:val="28"/>
                <w:szCs w:val="28"/>
              </w:rPr>
            </w:pPr>
            <w:r w:rsidDel="00000000" w:rsidR="00000000" w:rsidRPr="00000000">
              <w:rPr>
                <w:i w:val="1"/>
                <w:sz w:val="28"/>
                <w:szCs w:val="28"/>
                <w:rtl w:val="0"/>
              </w:rPr>
              <w:t xml:space="preserve">550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spacing w:after="0" w:line="240" w:lineRule="auto"/>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after="0" w:line="240" w:lineRule="auto"/>
              <w:jc w:val="center"/>
              <w:rPr>
                <w:i w:val="1"/>
                <w:sz w:val="28"/>
                <w:szCs w:val="28"/>
              </w:rPr>
            </w:pPr>
            <w:r w:rsidDel="00000000" w:rsidR="00000000" w:rsidRPr="00000000">
              <w:rPr>
                <w:i w:val="1"/>
                <w:sz w:val="28"/>
                <w:szCs w:val="28"/>
                <w:rtl w:val="0"/>
              </w:rPr>
              <w:t xml:space="preserve">750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B">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spacing w:after="0" w:line="240" w:lineRule="auto"/>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9F">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0">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4">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spacing w:after="0" w:line="240" w:lineRule="auto"/>
              <w:jc w:val="center"/>
              <w:rPr>
                <w:i w:val="1"/>
                <w:sz w:val="28"/>
                <w:szCs w:val="28"/>
              </w:rPr>
            </w:pPr>
            <w:r w:rsidDel="00000000" w:rsidR="00000000" w:rsidRPr="00000000">
              <w:rPr>
                <w:i w:val="1"/>
                <w:sz w:val="28"/>
                <w:szCs w:val="28"/>
                <w:rtl w:val="0"/>
              </w:rPr>
              <w:t xml:space="preserve">9600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after="0" w:line="240" w:lineRule="auto"/>
              <w:jc w:val="center"/>
              <w:rPr>
                <w:i w:val="1"/>
                <w:sz w:val="28"/>
                <w:szCs w:val="28"/>
              </w:rPr>
            </w:pPr>
            <w:r w:rsidDel="00000000" w:rsidR="00000000" w:rsidRPr="00000000">
              <w:rPr>
                <w:i w:val="1"/>
                <w:sz w:val="28"/>
                <w:szCs w:val="28"/>
                <w:rtl w:val="0"/>
              </w:rPr>
              <w:t xml:space="preserve">11600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jc w:val="center"/>
              <w:rPr>
                <w:i w:val="1"/>
                <w:sz w:val="28"/>
                <w:szCs w:val="28"/>
              </w:rPr>
            </w:pPr>
            <w:r w:rsidDel="00000000" w:rsidR="00000000" w:rsidRPr="00000000">
              <w:rPr>
                <w:i w:val="1"/>
                <w:sz w:val="28"/>
                <w:szCs w:val="28"/>
                <w:rtl w:val="0"/>
              </w:rPr>
              <w:t xml:space="preserve">13600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8">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line="240" w:lineRule="auto"/>
              <w:jc w:val="center"/>
              <w:rPr>
                <w:i w:val="1"/>
                <w:sz w:val="28"/>
                <w:szCs w:val="28"/>
              </w:rPr>
            </w:pPr>
            <w:r w:rsidDel="00000000" w:rsidR="00000000" w:rsidRPr="00000000">
              <w:rPr>
                <w:i w:val="1"/>
                <w:sz w:val="28"/>
                <w:szCs w:val="28"/>
                <w:rtl w:val="0"/>
              </w:rPr>
              <w:t xml:space="preserve">9000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spacing w:after="0" w:line="240" w:lineRule="auto"/>
              <w:jc w:val="center"/>
              <w:rPr>
                <w:i w:val="1"/>
                <w:sz w:val="28"/>
                <w:szCs w:val="28"/>
              </w:rPr>
            </w:pPr>
            <w:r w:rsidDel="00000000" w:rsidR="00000000" w:rsidRPr="00000000">
              <w:rPr>
                <w:i w:val="1"/>
                <w:sz w:val="28"/>
                <w:szCs w:val="28"/>
                <w:rtl w:val="0"/>
              </w:rPr>
              <w:t xml:space="preserve">11000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after="0" w:line="240" w:lineRule="auto"/>
              <w:jc w:val="center"/>
              <w:rPr>
                <w:i w:val="1"/>
                <w:sz w:val="28"/>
                <w:szCs w:val="28"/>
              </w:rPr>
            </w:pPr>
            <w:r w:rsidDel="00000000" w:rsidR="00000000" w:rsidRPr="00000000">
              <w:rPr>
                <w:i w:val="1"/>
                <w:sz w:val="28"/>
                <w:szCs w:val="28"/>
                <w:rtl w:val="0"/>
              </w:rPr>
              <w:t xml:space="preserve">13000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D">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after="0" w:line="240" w:lineRule="auto"/>
              <w:jc w:val="center"/>
              <w:rPr>
                <w:i w:val="1"/>
                <w:sz w:val="28"/>
                <w:szCs w:val="28"/>
              </w:rPr>
            </w:pPr>
            <w:r w:rsidDel="00000000" w:rsidR="00000000" w:rsidRPr="00000000">
              <w:rPr>
                <w:i w:val="1"/>
                <w:sz w:val="28"/>
                <w:szCs w:val="28"/>
                <w:rtl w:val="0"/>
              </w:rPr>
              <w:t xml:space="preserve">18 000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spacing w:after="0" w:line="240" w:lineRule="auto"/>
              <w:jc w:val="center"/>
              <w:rPr>
                <w:i w:val="1"/>
                <w:sz w:val="28"/>
                <w:szCs w:val="28"/>
              </w:rPr>
            </w:pPr>
            <w:r w:rsidDel="00000000" w:rsidR="00000000" w:rsidRPr="00000000">
              <w:rPr>
                <w:i w:val="1"/>
                <w:sz w:val="28"/>
                <w:szCs w:val="28"/>
                <w:rtl w:val="0"/>
              </w:rPr>
              <w:t xml:space="preserve">22 000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after="0" w:line="240" w:lineRule="auto"/>
              <w:jc w:val="center"/>
              <w:rPr>
                <w:i w:val="1"/>
                <w:sz w:val="28"/>
                <w:szCs w:val="28"/>
              </w:rPr>
            </w:pPr>
            <w:r w:rsidDel="00000000" w:rsidR="00000000" w:rsidRPr="00000000">
              <w:rPr>
                <w:i w:val="1"/>
                <w:sz w:val="28"/>
                <w:szCs w:val="28"/>
                <w:rtl w:val="0"/>
              </w:rPr>
              <w:t xml:space="preserve">26 000 руб</w:t>
            </w:r>
          </w:p>
        </w:tc>
      </w:tr>
    </w:tbl>
    <w:p w:rsidR="00000000" w:rsidDel="00000000" w:rsidP="00000000" w:rsidRDefault="00000000" w:rsidRPr="00000000" w14:paraId="000000B1">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2">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after="0" w:line="240" w:lineRule="auto"/>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spacing w:after="0" w:line="240" w:lineRule="auto"/>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spacing w:after="0" w:line="240" w:lineRule="auto"/>
              <w:jc w:val="center"/>
              <w:rPr>
                <w:i w:val="1"/>
                <w:sz w:val="28"/>
                <w:szCs w:val="28"/>
              </w:rPr>
            </w:pPr>
            <w:r w:rsidDel="00000000" w:rsidR="00000000" w:rsidRPr="00000000">
              <w:rPr>
                <w:i w:val="1"/>
                <w:sz w:val="28"/>
                <w:szCs w:val="28"/>
                <w:rtl w:val="0"/>
              </w:rPr>
              <w:t xml:space="preserve">850 руб</w:t>
            </w:r>
          </w:p>
        </w:tc>
      </w:tr>
    </w:tbl>
    <w:p w:rsidR="00000000" w:rsidDel="00000000" w:rsidP="00000000" w:rsidRDefault="00000000" w:rsidRPr="00000000" w14:paraId="000000BA">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C0">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spacing w:after="0" w:line="240" w:lineRule="auto"/>
              <w:jc w:val="center"/>
              <w:rPr>
                <w:i w:val="1"/>
                <w:sz w:val="28"/>
                <w:szCs w:val="28"/>
              </w:rPr>
            </w:pPr>
            <w:r w:rsidDel="00000000" w:rsidR="00000000" w:rsidRPr="00000000">
              <w:rPr>
                <w:i w:val="1"/>
                <w:sz w:val="28"/>
                <w:szCs w:val="28"/>
                <w:rtl w:val="0"/>
              </w:rPr>
              <w:t xml:space="preserve">11040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spacing w:after="0" w:line="240" w:lineRule="auto"/>
              <w:jc w:val="center"/>
              <w:rPr>
                <w:i w:val="1"/>
                <w:sz w:val="28"/>
                <w:szCs w:val="28"/>
              </w:rPr>
            </w:pPr>
            <w:r w:rsidDel="00000000" w:rsidR="00000000" w:rsidRPr="00000000">
              <w:rPr>
                <w:i w:val="1"/>
                <w:sz w:val="28"/>
                <w:szCs w:val="28"/>
                <w:rtl w:val="0"/>
              </w:rPr>
              <w:t xml:space="preserve">13440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after="0" w:line="240" w:lineRule="auto"/>
              <w:jc w:val="center"/>
              <w:rPr>
                <w:i w:val="1"/>
                <w:sz w:val="28"/>
                <w:szCs w:val="28"/>
              </w:rPr>
            </w:pPr>
            <w:r w:rsidDel="00000000" w:rsidR="00000000" w:rsidRPr="00000000">
              <w:rPr>
                <w:i w:val="1"/>
                <w:sz w:val="28"/>
                <w:szCs w:val="28"/>
                <w:rtl w:val="0"/>
              </w:rPr>
              <w:t xml:space="preserve">15840 руб</w:t>
            </w:r>
          </w:p>
        </w:tc>
      </w:tr>
    </w:tbl>
    <w:p w:rsidR="00000000" w:rsidDel="00000000" w:rsidP="00000000" w:rsidRDefault="00000000" w:rsidRPr="00000000" w14:paraId="000000C4">
      <w:pPr>
        <w:shd w:fill="ffffff" w:val="clear"/>
        <w:spacing w:after="0" w:lineRule="auto"/>
        <w:rPr>
          <w:b w:val="1"/>
          <w:sz w:val="10"/>
          <w:szCs w:val="10"/>
        </w:rPr>
      </w:pPr>
      <w:r w:rsidDel="00000000" w:rsidR="00000000" w:rsidRPr="00000000">
        <w:rPr>
          <w:rtl w:val="0"/>
        </w:rPr>
      </w:r>
    </w:p>
    <w:tbl>
      <w:tblPr>
        <w:tblStyle w:val="Table6"/>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C5">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0"/>
            <w:bookmarkEnd w:id="0"/>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C8">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3 500 рублей</w:t>
            </w:r>
          </w:p>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pBdr>
              <w:spacing w:after="0" w:lineRule="auto"/>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pBdr>
              <w:spacing w:after="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C">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CD">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spacing w:after="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600 руб.</w:t>
            </w:r>
          </w:p>
          <w:p w:rsidR="00000000" w:rsidDel="00000000" w:rsidP="00000000" w:rsidRDefault="00000000" w:rsidRPr="00000000" w14:paraId="000000CF">
            <w:pPr>
              <w:widowControl w:val="0"/>
              <w:spacing w:after="0" w:lineRule="auto"/>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1"/>
            <w:bookmarkEnd w:id="1"/>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2000 руб.</w:t>
            </w:r>
          </w:p>
          <w:p w:rsidR="00000000" w:rsidDel="00000000" w:rsidP="00000000" w:rsidRDefault="00000000" w:rsidRPr="00000000" w14:paraId="000000D3">
            <w:pPr>
              <w:widowControl w:val="0"/>
              <w:spacing w:after="0" w:lineRule="auto"/>
              <w:rPr>
                <w:sz w:val="24"/>
                <w:szCs w:val="24"/>
                <w:highlight w:val="white"/>
              </w:rPr>
            </w:pPr>
            <w:r w:rsidDel="00000000" w:rsidR="00000000" w:rsidRPr="00000000">
              <w:rPr>
                <w:sz w:val="24"/>
                <w:szCs w:val="24"/>
                <w:rtl w:val="0"/>
              </w:rPr>
              <w:t xml:space="preserve">от</w:t>
            </w:r>
            <w:r w:rsidDel="00000000" w:rsidR="00000000" w:rsidRPr="00000000">
              <w:rPr>
                <w:b w:val="1"/>
                <w:sz w:val="24"/>
                <w:szCs w:val="24"/>
                <w:rtl w:val="0"/>
              </w:rPr>
              <w:t xml:space="preserve"> 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D4">
            <w:pPr>
              <w:widowControl w:val="0"/>
              <w:spacing w:after="0" w:lineRule="auto"/>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4000 руб.</w:t>
            </w:r>
          </w:p>
        </w:tc>
      </w:tr>
    </w:tbl>
    <w:p w:rsidR="00000000" w:rsidDel="00000000" w:rsidP="00000000" w:rsidRDefault="00000000" w:rsidRPr="00000000" w14:paraId="000000D5">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D6">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A">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spacing w:after="0" w:line="240" w:lineRule="auto"/>
              <w:jc w:val="center"/>
              <w:rPr>
                <w:i w:val="1"/>
                <w:sz w:val="28"/>
                <w:szCs w:val="28"/>
              </w:rPr>
            </w:pPr>
            <w:r w:rsidDel="00000000" w:rsidR="00000000" w:rsidRPr="00000000">
              <w:rPr>
                <w:i w:val="1"/>
                <w:sz w:val="28"/>
                <w:szCs w:val="28"/>
                <w:rtl w:val="0"/>
              </w:rPr>
              <w:t xml:space="preserve">1500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spacing w:after="0" w:line="240" w:lineRule="auto"/>
              <w:jc w:val="center"/>
              <w:rPr>
                <w:i w:val="1"/>
                <w:sz w:val="28"/>
                <w:szCs w:val="28"/>
              </w:rPr>
            </w:pPr>
            <w:r w:rsidDel="00000000" w:rsidR="00000000" w:rsidRPr="00000000">
              <w:rPr>
                <w:i w:val="1"/>
                <w:sz w:val="28"/>
                <w:szCs w:val="28"/>
                <w:rtl w:val="0"/>
              </w:rPr>
              <w:t xml:space="preserve">1800 руб</w:t>
            </w:r>
          </w:p>
        </w:tc>
      </w:tr>
    </w:tbl>
    <w:p w:rsidR="00000000" w:rsidDel="00000000" w:rsidP="00000000" w:rsidRDefault="00000000" w:rsidRPr="00000000" w14:paraId="000000DE">
      <w:pPr>
        <w:shd w:fill="ffffff" w:val="clear"/>
        <w:spacing w:after="0" w:lineRule="auto"/>
        <w:rPr>
          <w:b w:val="1"/>
          <w:sz w:val="10"/>
          <w:szCs w:val="10"/>
        </w:rPr>
      </w:pPr>
      <w:r w:rsidDel="00000000" w:rsidR="00000000" w:rsidRPr="00000000">
        <w:rPr>
          <w:rtl w:val="0"/>
        </w:rPr>
      </w:r>
    </w:p>
    <w:tbl>
      <w:tblPr>
        <w:tblStyle w:val="Table8"/>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DF">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3">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E4">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spacing w:after="0" w:line="240" w:lineRule="auto"/>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8">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E9">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spacing w:after="0" w:line="240" w:lineRule="auto"/>
              <w:jc w:val="center"/>
              <w:rPr>
                <w:i w:val="1"/>
                <w:sz w:val="28"/>
                <w:szCs w:val="28"/>
              </w:rPr>
            </w:pPr>
            <w:r w:rsidDel="00000000" w:rsidR="00000000" w:rsidRPr="00000000">
              <w:rPr>
                <w:i w:val="1"/>
                <w:sz w:val="28"/>
                <w:szCs w:val="28"/>
                <w:rtl w:val="0"/>
              </w:rPr>
              <w:t xml:space="preserve">800 руб</w:t>
            </w:r>
          </w:p>
        </w:tc>
      </w:tr>
    </w:tbl>
    <w:p w:rsidR="00000000" w:rsidDel="00000000" w:rsidP="00000000" w:rsidRDefault="00000000" w:rsidRPr="00000000" w14:paraId="000000ED">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E">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2">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spacing w:after="0" w:line="240" w:lineRule="auto"/>
              <w:jc w:val="center"/>
              <w:rPr>
                <w:i w:val="1"/>
                <w:sz w:val="28"/>
                <w:szCs w:val="28"/>
              </w:rPr>
            </w:pPr>
            <w:r w:rsidDel="00000000" w:rsidR="00000000" w:rsidRPr="00000000">
              <w:rPr>
                <w:i w:val="1"/>
                <w:sz w:val="28"/>
                <w:szCs w:val="28"/>
                <w:rtl w:val="0"/>
              </w:rPr>
              <w:t xml:space="preserve">1400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6">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7">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spacing w:after="0" w:line="240" w:lineRule="auto"/>
              <w:jc w:val="center"/>
              <w:rPr>
                <w:i w:val="1"/>
                <w:sz w:val="28"/>
                <w:szCs w:val="28"/>
              </w:rPr>
            </w:pPr>
            <w:r w:rsidDel="00000000" w:rsidR="00000000" w:rsidRPr="00000000">
              <w:rPr>
                <w:i w:val="1"/>
                <w:sz w:val="28"/>
                <w:szCs w:val="28"/>
                <w:rtl w:val="0"/>
              </w:rPr>
              <w:t xml:space="preserve">1500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spacing w:after="0" w:line="240" w:lineRule="auto"/>
              <w:jc w:val="center"/>
              <w:rPr>
                <w:i w:val="1"/>
                <w:sz w:val="28"/>
                <w:szCs w:val="28"/>
              </w:rPr>
            </w:pPr>
            <w:r w:rsidDel="00000000" w:rsidR="00000000" w:rsidRPr="00000000">
              <w:rPr>
                <w:i w:val="1"/>
                <w:sz w:val="28"/>
                <w:szCs w:val="28"/>
                <w:rtl w:val="0"/>
              </w:rPr>
              <w:t xml:space="preserve">1700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spacing w:after="0" w:line="240" w:lineRule="auto"/>
              <w:jc w:val="center"/>
              <w:rPr>
                <w:i w:val="1"/>
                <w:sz w:val="28"/>
                <w:szCs w:val="28"/>
              </w:rPr>
            </w:pPr>
            <w:r w:rsidDel="00000000" w:rsidR="00000000" w:rsidRPr="00000000">
              <w:rPr>
                <w:i w:val="1"/>
                <w:sz w:val="28"/>
                <w:szCs w:val="28"/>
                <w:rtl w:val="0"/>
              </w:rPr>
              <w:t xml:space="preserve">1900 руб</w:t>
            </w:r>
          </w:p>
        </w:tc>
      </w:tr>
    </w:tbl>
    <w:p w:rsidR="00000000" w:rsidDel="00000000" w:rsidP="00000000" w:rsidRDefault="00000000" w:rsidRPr="00000000" w14:paraId="000000FB">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101">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spacing w:after="0" w:line="240" w:lineRule="auto"/>
              <w:jc w:val="center"/>
              <w:rPr>
                <w:i w:val="1"/>
                <w:sz w:val="28"/>
                <w:szCs w:val="28"/>
              </w:rPr>
            </w:pPr>
            <w:r w:rsidDel="00000000" w:rsidR="00000000" w:rsidRPr="00000000">
              <w:rPr>
                <w:i w:val="1"/>
                <w:sz w:val="28"/>
                <w:szCs w:val="28"/>
                <w:rtl w:val="0"/>
              </w:rPr>
              <w:t xml:space="preserve">2000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spacing w:after="0" w:line="240" w:lineRule="auto"/>
              <w:jc w:val="center"/>
              <w:rPr>
                <w:i w:val="1"/>
                <w:sz w:val="28"/>
                <w:szCs w:val="28"/>
              </w:rPr>
            </w:pPr>
            <w:r w:rsidDel="00000000" w:rsidR="00000000" w:rsidRPr="00000000">
              <w:rPr>
                <w:i w:val="1"/>
                <w:sz w:val="28"/>
                <w:szCs w:val="28"/>
                <w:rtl w:val="0"/>
              </w:rPr>
              <w:t xml:space="preserve">2300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spacing w:after="0" w:line="240" w:lineRule="auto"/>
              <w:jc w:val="center"/>
              <w:rPr>
                <w:i w:val="1"/>
                <w:sz w:val="28"/>
                <w:szCs w:val="28"/>
              </w:rPr>
            </w:pPr>
            <w:r w:rsidDel="00000000" w:rsidR="00000000" w:rsidRPr="00000000">
              <w:rPr>
                <w:i w:val="1"/>
                <w:sz w:val="28"/>
                <w:szCs w:val="28"/>
                <w:rtl w:val="0"/>
              </w:rPr>
              <w:t xml:space="preserve">2600 руб</w:t>
            </w:r>
          </w:p>
        </w:tc>
      </w:tr>
    </w:tbl>
    <w:p w:rsidR="00000000" w:rsidDel="00000000" w:rsidP="00000000" w:rsidRDefault="00000000" w:rsidRPr="00000000" w14:paraId="00000105">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Ewi8t9xwLRlInY/JCrI/9aaHKw==">AMUW2mWS5y6ZL1ml8vnNXz6F/SG7UwhDqgNJII31DcLit1tC12IqjTeQ53OjTGbAjFqXjCEn1ZB8wd8Tl/k5vDJlLqBaVMtZW3XRjun/7yL8P0WOw+gqfXFJ8qoOEo+crG+blTZgma8frL0QHuSbPlwakVAmvF4EUCbzCv7W8Vno5mJbVyjiRd0=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