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0D" w:rsidRPr="00D60444" w:rsidRDefault="00437318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F11A62">
      <w:pPr>
        <w:widowControl w:val="0"/>
        <w:spacing w:after="4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 xml:space="preserve">ИП </w:t>
      </w:r>
      <w:r w:rsidR="00F11A62">
        <w:rPr>
          <w:rFonts w:ascii="Times New Roman" w:hAnsi="Times New Roman" w:cs="Times New Roman"/>
          <w:sz w:val="18"/>
          <w:szCs w:val="18"/>
        </w:rPr>
        <w:t>Куликова Дарья Александровна</w:t>
      </w:r>
      <w:r w:rsidR="00E5013F" w:rsidRPr="004407FA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субконцессии</w:t>
      </w:r>
      <w:proofErr w:type="spellEnd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</w:t>
      </w:r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 xml:space="preserve">ИП </w:t>
      </w:r>
      <w:r w:rsidR="00A90B9B">
        <w:rPr>
          <w:rFonts w:ascii="Times New Roman" w:hAnsi="Times New Roman" w:cs="Times New Roman"/>
          <w:sz w:val="18"/>
          <w:szCs w:val="18"/>
        </w:rPr>
        <w:t xml:space="preserve">Куликова Дарья Александровна </w:t>
      </w:r>
      <w:r w:rsidR="00E5013F" w:rsidRPr="004407FA">
        <w:rPr>
          <w:rFonts w:ascii="Times New Roman" w:hAnsi="Times New Roman" w:cs="Times New Roman"/>
          <w:sz w:val="18"/>
          <w:szCs w:val="18"/>
        </w:rPr>
        <w:t>(</w:t>
      </w:r>
      <w:r w:rsidR="00A90B9B" w:rsidRPr="00A90B9B">
        <w:rPr>
          <w:rFonts w:ascii="Times New Roman" w:hAnsi="Times New Roman" w:cs="Times New Roman"/>
          <w:sz w:val="18"/>
          <w:szCs w:val="18"/>
        </w:rPr>
        <w:t>ОГРН 320784700094812, ИНН 781716161025</w:t>
      </w:r>
      <w:r w:rsidRPr="00A90B9B">
        <w:rPr>
          <w:rFonts w:ascii="Times New Roman" w:hAnsi="Times New Roman" w:cs="Times New Roman"/>
          <w:sz w:val="18"/>
          <w:szCs w:val="18"/>
        </w:rPr>
        <w:t>) н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</w:t>
      </w:r>
    </w:p>
    <w:p w:rsidR="00BC000D" w:rsidRPr="002F7A9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D26275"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Санкт-Петербург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437318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43731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43731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43731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43731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43731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A90B9B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 (разовая заявка «Ночь»), </w:t>
      </w:r>
    </w:p>
    <w:p w:rsidR="00BC000D" w:rsidRPr="00D60444" w:rsidRDefault="0043731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437318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BC000D" w:rsidP="00A90B9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437318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E5013F" w:rsidRDefault="00437318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E5013F" w:rsidRPr="00E5013F" w:rsidRDefault="00E5013F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013F">
        <w:rPr>
          <w:rFonts w:ascii="Times New Roman" w:hAnsi="Times New Roman" w:cs="Times New Roman"/>
          <w:sz w:val="18"/>
          <w:szCs w:val="18"/>
        </w:rPr>
        <w:t xml:space="preserve">При оформлении заказа на тариф «День» (с 08-00 до 20-59), в пределах </w:t>
      </w:r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г.Санкт-Петербург</w:t>
      </w:r>
      <w:r w:rsidRPr="00E5013F">
        <w:rPr>
          <w:rFonts w:ascii="Times New Roman" w:hAnsi="Times New Roman" w:cs="Times New Roman"/>
          <w:sz w:val="18"/>
          <w:szCs w:val="18"/>
        </w:rPr>
        <w:t>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за пределами КА</w:t>
      </w:r>
      <w:proofErr w:type="gramStart"/>
      <w:r w:rsidRPr="00E5013F">
        <w:rPr>
          <w:rFonts w:ascii="Times New Roman" w:hAnsi="Times New Roman" w:cs="Times New Roman"/>
          <w:sz w:val="18"/>
          <w:szCs w:val="18"/>
        </w:rPr>
        <w:t>Д(</w:t>
      </w:r>
      <w:proofErr w:type="gramEnd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Кольцевая автодорога Санкт-Петербурга)</w:t>
      </w:r>
      <w:r w:rsidRPr="00E5013F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</w:t>
      </w:r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температура на </w:t>
      </w:r>
      <w:proofErr w:type="gramStart"/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>улице</w:t>
      </w:r>
      <w:proofErr w:type="gramEnd"/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ниже минус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437318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437318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43731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отказе Заказчика более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 – 100 % от оплаченной Заказчиком суммы;</w:t>
      </w:r>
    </w:p>
    <w:p w:rsidR="00BC000D" w:rsidRPr="00D60444" w:rsidRDefault="0043731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отказе Заказчика меньше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43731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437318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5 п. 8.10 Оферты, с вычетом суммы пропорционально истекшемусроку действия абонемента.</w:t>
      </w:r>
    </w:p>
    <w:p w:rsidR="00BC000D" w:rsidRPr="00D60444" w:rsidRDefault="00437318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если Заказчик отказывается от оказания Услуги в рамках абонемента в конкретный день и в конкретное время, менее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отоплаченной Заказчиком стоимости абонемента.</w:t>
      </w:r>
    </w:p>
    <w:p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437318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437318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  <w:proofErr w:type="gramEnd"/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437318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2F7A94" w:rsidRDefault="002F7A94" w:rsidP="002F7A94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ИП Куликова Дарья Александровна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2F7A94" w:rsidRDefault="002F7A94" w:rsidP="002F7A94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Юридический адрес: </w:t>
      </w:r>
      <w:proofErr w:type="gramStart"/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Россия, Санкт-Петербург г. Колпино, ул. Московская 11-152, Почтовый адрес: 196655 , Россия, Санкт-Петербург, г. Колпино, ул. Московская 11-152, </w:t>
      </w:r>
      <w:proofErr w:type="gramEnd"/>
    </w:p>
    <w:p w:rsidR="002F7A94" w:rsidRPr="002F7A94" w:rsidRDefault="002F7A94" w:rsidP="002F7A94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2F7A94" w:rsidRPr="002F7A9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ОГРН 320784700094812, </w:t>
      </w:r>
      <w:bookmarkStart w:id="0" w:name="bookmark=kix.gdo37bbllxew" w:colFirst="0" w:colLast="0"/>
      <w:bookmarkEnd w:id="0"/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ИНН 781716161025</w:t>
      </w:r>
      <w:r w:rsidR="00C5440D" w:rsidRPr="00C544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Банковские рекв</w:t>
      </w:r>
      <w:r w:rsidR="00BE4C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изиты: </w:t>
      </w:r>
      <w:proofErr w:type="spellStart"/>
      <w:proofErr w:type="gramStart"/>
      <w:r w:rsidR="00BE4CA7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spellEnd"/>
      <w:proofErr w:type="gramEnd"/>
      <w:r w:rsidR="00BE4CA7">
        <w:rPr>
          <w:rFonts w:ascii="Times New Roman" w:hAnsi="Times New Roman" w:cs="Times New Roman"/>
          <w:color w:val="000000" w:themeColor="text1"/>
          <w:sz w:val="18"/>
          <w:szCs w:val="18"/>
        </w:rPr>
        <w:t>/с 40802810000001568586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, АО "ТИНЬКОФФ-</w:t>
      </w:r>
      <w:bookmarkStart w:id="1" w:name="bookmark=kix.eyqhgu9bgukf" w:colFirst="0" w:colLast="0"/>
      <w:bookmarkEnd w:id="1"/>
      <w:r w:rsidR="00BE4CA7">
        <w:rPr>
          <w:rFonts w:ascii="Times New Roman" w:hAnsi="Times New Roman" w:cs="Times New Roman"/>
          <w:color w:val="000000" w:themeColor="text1"/>
          <w:sz w:val="18"/>
          <w:szCs w:val="18"/>
        </w:rPr>
        <w:t>БАНК"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, БИК 044525974</w:t>
      </w:r>
      <w:bookmarkStart w:id="2" w:name="bookmark=kix.sdq8n8f7s2zs" w:colFirst="0" w:colLast="0"/>
      <w:bookmarkEnd w:id="2"/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, к/с 3010181014</w:t>
      </w:r>
      <w:r w:rsidR="00D16A26">
        <w:rPr>
          <w:rFonts w:ascii="Times New Roman" w:hAnsi="Times New Roman" w:cs="Times New Roman"/>
          <w:color w:val="000000" w:themeColor="text1"/>
          <w:sz w:val="18"/>
          <w:szCs w:val="18"/>
        </w:rPr>
        <w:t>5250000974, Тел. 8-952-376-30-76</w:t>
      </w:r>
    </w:p>
    <w:p w:rsidR="00E5013F" w:rsidRDefault="00E5013F" w:rsidP="00D16A26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43731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№1</w:t>
      </w:r>
    </w:p>
    <w:p w:rsidR="00BC000D" w:rsidRPr="00D60444" w:rsidRDefault="0043731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E5013F" w:rsidRPr="004407FA" w:rsidRDefault="00E5013F" w:rsidP="00E501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E5013F" w:rsidRPr="004407FA" w:rsidRDefault="00E5013F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99085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07FA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162</w:t>
            </w:r>
            <w:r w:rsidR="009908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23750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  <w:trHeight w:val="479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28000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68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5"/>
        <w:gridCol w:w="5949"/>
      </w:tblGrid>
      <w:tr w:rsidR="00E5013F" w:rsidRPr="004407FA" w:rsidTr="00D16A26">
        <w:trPr>
          <w:cantSplit/>
          <w:tblHeader/>
        </w:trPr>
        <w:tc>
          <w:tcPr>
            <w:tcW w:w="1020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E5013F" w:rsidRPr="004407FA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lastRenderedPageBreak/>
              <w:t>Игровая детская зона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3500 рублей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няни) В случае если количество детей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E5013F" w:rsidRPr="004407FA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500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E5013F" w:rsidRPr="004407FA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4000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E5013F" w:rsidRPr="004407FA" w:rsidRDefault="00E5013F" w:rsidP="00E5013F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4407FA">
        <w:rPr>
          <w:rFonts w:ascii="Times New Roman" w:hAnsi="Times New Roman" w:cs="Times New Roman"/>
          <w:b/>
          <w:sz w:val="18"/>
          <w:szCs w:val="18"/>
        </w:rPr>
        <w:br/>
      </w:r>
      <w:r w:rsidRPr="004407FA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30.12. -04.01.</w:t>
      </w:r>
    </w:p>
    <w:tbl>
      <w:tblPr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E5013F" w:rsidRPr="004407FA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3F" w:rsidRPr="004407FA" w:rsidRDefault="00E5013F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21.00 до 07.59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E5013F" w:rsidRPr="004407FA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3F" w:rsidRPr="004407FA" w:rsidRDefault="00E5013F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с 18.00 до 10.00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013F" w:rsidRPr="00D16A26" w:rsidRDefault="00E5013F" w:rsidP="00D16A26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E5013F" w:rsidRPr="004407FA" w:rsidRDefault="00E5013F" w:rsidP="00E5013F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E5013F" w:rsidRPr="004407FA" w:rsidRDefault="00D16A26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E5013F"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25 часов,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E5013F" w:rsidRDefault="00E5013F" w:rsidP="00D16A26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й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ствия абонемента в таком случае продлевается на соразмерное количество дней.</w:t>
      </w:r>
    </w:p>
    <w:p w:rsidR="00FE02F8" w:rsidRPr="00D16A26" w:rsidRDefault="00FE02F8" w:rsidP="00FE02F8">
      <w:pPr>
        <w:pStyle w:val="afc"/>
        <w:widowControl w:val="0"/>
        <w:suppressAutoHyphens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E5013F" w:rsidRPr="00D16A26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4407FA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sectPr w:rsidR="00E5013F" w:rsidRPr="00D16A26" w:rsidSect="00AA7EED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20"/>
  </w:num>
  <w:num w:numId="8">
    <w:abstractNumId w:val="19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5"/>
  </w:num>
  <w:num w:numId="16">
    <w:abstractNumId w:val="3"/>
  </w:num>
  <w:num w:numId="17">
    <w:abstractNumId w:val="10"/>
  </w:num>
  <w:num w:numId="18">
    <w:abstractNumId w:val="11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BC000D"/>
    <w:rsid w:val="00025E6F"/>
    <w:rsid w:val="0029651E"/>
    <w:rsid w:val="002F7A94"/>
    <w:rsid w:val="00437318"/>
    <w:rsid w:val="006B4AAF"/>
    <w:rsid w:val="00990857"/>
    <w:rsid w:val="00A90B9B"/>
    <w:rsid w:val="00AA7EED"/>
    <w:rsid w:val="00BC000D"/>
    <w:rsid w:val="00BE4CA7"/>
    <w:rsid w:val="00C5440D"/>
    <w:rsid w:val="00CE58FB"/>
    <w:rsid w:val="00D16A26"/>
    <w:rsid w:val="00D26275"/>
    <w:rsid w:val="00D60444"/>
    <w:rsid w:val="00E5013F"/>
    <w:rsid w:val="00F11A62"/>
    <w:rsid w:val="00FE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sid w:val="00AA7E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sid w:val="00AA7E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rsid w:val="00AA7EED"/>
    <w:pPr>
      <w:spacing w:after="140"/>
    </w:pPr>
  </w:style>
  <w:style w:type="paragraph" w:styleId="af">
    <w:name w:val="List"/>
    <w:basedOn w:val="ae"/>
    <w:rsid w:val="00AA7EED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rsid w:val="00AA7EED"/>
    <w:pPr>
      <w:suppressLineNumbers/>
    </w:pPr>
    <w:rPr>
      <w:rFonts w:cs="Mangal"/>
    </w:rPr>
  </w:style>
  <w:style w:type="paragraph" w:customStyle="1" w:styleId="LO-normal1">
    <w:name w:val="LO-normal1"/>
    <w:qFormat/>
    <w:rsid w:val="00AA7EED"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rsid w:val="00AA7EED"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  <w:rsid w:val="00AA7EED"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rsid w:val="00AA7EED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AA7EED"/>
    <w:pPr>
      <w:jc w:val="center"/>
    </w:pPr>
    <w:rPr>
      <w:b/>
      <w:bCs/>
    </w:rPr>
  </w:style>
  <w:style w:type="table" w:customStyle="1" w:styleId="TableNormal">
    <w:name w:val="Table Normal"/>
    <w:rsid w:val="00AA7E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AA7E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2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12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Вадим Куликов</cp:lastModifiedBy>
  <cp:revision>3</cp:revision>
  <dcterms:created xsi:type="dcterms:W3CDTF">2024-03-13T13:07:00Z</dcterms:created>
  <dcterms:modified xsi:type="dcterms:W3CDTF">2024-03-13T13:12:00Z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