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1"/>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 </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4">
      <w:pPr>
        <w:numPr>
          <w:ilvl w:val="0"/>
          <w:numId w:val="5"/>
        </w:numP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Чецкая Ирина Владимировна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Чецкая Ирина Владимировна (ОГРН: 320631300076003, ИНН 632146965580)</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1">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2">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3">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4">
      <w:pP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 ИП Чецкая Ирина Владимировна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5">
      <w:pP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6">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7">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8">
      <w:pPr>
        <w:shd w:fill="ffffff" w:val="clear"/>
        <w:spacing w:line="240"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9">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Чецкая Ирина Владимировна (ОГРН: 320631300076003, ИНН 632146965580</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8">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shd w:fill="ffffff" w:val="clear"/>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p>
    <w:p w:rsidR="00000000" w:rsidDel="00000000" w:rsidP="00000000" w:rsidRDefault="00000000" w:rsidRPr="00000000" w14:paraId="0000003C">
      <w:pP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 ИП Чецкая Ирина Владимировна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 ИП Чецкая Ирина Владимировна</w:t>
      </w:r>
      <w:r w:rsidDel="00000000" w:rsidR="00000000" w:rsidRPr="00000000">
        <w:rPr>
          <w:rtl w:val="0"/>
        </w:rPr>
      </w:r>
    </w:p>
    <w:p w:rsidR="00000000" w:rsidDel="00000000" w:rsidP="00000000" w:rsidRDefault="00000000" w:rsidRPr="00000000" w14:paraId="0000003D">
      <w:pP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 ИП Чецкая Ирина Владимировна</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shd w:fill="ffffff" w:val="clear"/>
        <w:spacing w:line="240" w:lineRule="auto"/>
        <w:ind w:left="142"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2"/>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6">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8">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B">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C">
      <w:pP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D">
      <w:pP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E">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0">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2">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3">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6">
      <w:pPr>
        <w:widowControl w:val="1"/>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7">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8">
      <w:pP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B">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C">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D">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E">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F">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0">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1">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2">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3">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4">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445039, Самарская область , г. Тольятти, ул. Автостроителей 78, кв.195.</w:t>
      </w:r>
      <w:r w:rsidDel="00000000" w:rsidR="00000000" w:rsidRPr="00000000">
        <w:rPr>
          <w:rtl w:val="0"/>
        </w:rPr>
      </w:r>
    </w:p>
    <w:p w:rsidR="00000000" w:rsidDel="00000000" w:rsidP="00000000" w:rsidRDefault="00000000" w:rsidRPr="00000000" w14:paraId="00000085">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6">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7">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8">
      <w:pP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Тольятти,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Тольятти   (пригород)  дополнительно оплачивается такси.  </w:t>
      </w:r>
    </w:p>
    <w:p w:rsidR="00000000" w:rsidDel="00000000" w:rsidP="00000000" w:rsidRDefault="00000000" w:rsidRPr="00000000" w14:paraId="00000089">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B">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C">
      <w:pP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D">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E">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8F">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0">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1">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2">
      <w:pPr>
        <w:numPr>
          <w:ilvl w:val="1"/>
          <w:numId w:val="3"/>
        </w:num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3">
      <w:pPr>
        <w:numPr>
          <w:ilvl w:val="1"/>
          <w:numId w:val="3"/>
        </w:num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4">
      <w:pPr>
        <w:numPr>
          <w:ilvl w:val="1"/>
          <w:numId w:val="3"/>
        </w:num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5">
      <w:pPr>
        <w:numPr>
          <w:ilvl w:val="1"/>
          <w:numId w:val="3"/>
        </w:num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6">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8">
      <w:pP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B">
      <w:pP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Чецкая Ирина Владимировна                     </w:t>
      </w:r>
    </w:p>
    <w:p w:rsidR="00000000" w:rsidDel="00000000" w:rsidP="00000000" w:rsidRDefault="00000000" w:rsidRPr="00000000" w14:paraId="0000009D">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ОГРН: 320631300076003, ИНН 632146965580 Юридический адрес:  Россия, Самарская область, г. Тольятти, ул. Автостроителей, 78 - 195,почтовый адрес: Россия, Самарская область, г. Тольятти, ул. Автостроителей, 78 – 195 Р/сч:  40802 810 3000 0157 2104 К/сч: 30101 810 1452 5000 0974 АО «ТИНЬКОФФ БАНК» Москва, 123060 1-й Волокамский проезд, д.10, стр 1 БИК: 04452597 Тел./факс: 89272688754</w:t>
      </w:r>
    </w:p>
    <w:p w:rsidR="00000000" w:rsidDel="00000000" w:rsidP="00000000" w:rsidRDefault="00000000" w:rsidRPr="00000000" w14:paraId="0000009E">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6">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7">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A">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B">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C">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D">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E">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0">
      <w:pPr>
        <w:shd w:fill="ffffff" w:val="clear"/>
        <w:spacing w:line="240" w:lineRule="auto"/>
        <w:ind w:left="142" w:firstLine="0"/>
        <w:jc w:val="center"/>
        <w:rPr>
          <w:rFonts w:ascii="Times New Roman" w:cs="Times New Roman" w:eastAsia="Times New Roman" w:hAnsi="Times New Roman"/>
          <w:color w:val="000000"/>
          <w:sz w:val="28"/>
          <w:szCs w:val="28"/>
        </w:rPr>
      </w:pPr>
      <w:bookmarkStart w:colFirst="0" w:colLast="0" w:name="_heading=h.30j0zll" w:id="0"/>
      <w:bookmarkEnd w:id="0"/>
      <w:r w:rsidDel="00000000" w:rsidR="00000000" w:rsidRPr="00000000">
        <w:rPr>
          <w:rtl w:val="0"/>
        </w:rPr>
      </w:r>
    </w:p>
    <w:p w:rsidR="00000000" w:rsidDel="00000000" w:rsidP="00000000" w:rsidRDefault="00000000" w:rsidRPr="00000000" w14:paraId="000000C1">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2">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C3">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C4">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5">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8">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C9">
      <w:pPr>
        <w:ind w:right="795" w:firstLine="0"/>
        <w:jc w:val="center"/>
        <w:rPr>
          <w:rFonts w:ascii="Times New Roman" w:cs="Times New Roman" w:eastAsia="Times New Roman" w:hAnsi="Times New Roman"/>
          <w:sz w:val="24"/>
          <w:szCs w:val="24"/>
        </w:rPr>
      </w:pPr>
      <w:r w:rsidDel="00000000" w:rsidR="00000000" w:rsidRPr="00000000">
        <w:rPr>
          <w:rtl w:val="0"/>
        </w:rPr>
      </w:r>
    </w:p>
    <w:tbl>
      <w:tblPr>
        <w:tblStyle w:val="Table1"/>
        <w:tblW w:w="5117.0" w:type="dxa"/>
        <w:jc w:val="center"/>
        <w:tblLayout w:type="fixed"/>
        <w:tblLook w:val="0400"/>
      </w:tblPr>
      <w:tblGrid>
        <w:gridCol w:w="2695"/>
        <w:gridCol w:w="2422"/>
        <w:tblGridChange w:id="0">
          <w:tblGrid>
            <w:gridCol w:w="2695"/>
            <w:gridCol w:w="2422"/>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380 руб.</w:t>
            </w:r>
          </w:p>
        </w:tc>
      </w:tr>
    </w:tbl>
    <w:p w:rsidR="00000000" w:rsidDel="00000000" w:rsidP="00000000" w:rsidRDefault="00000000" w:rsidRPr="00000000" w14:paraId="000000CE">
      <w:pPr>
        <w:ind w:right="795"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D1">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7.0" w:type="dxa"/>
        <w:jc w:val="center"/>
        <w:tblLayout w:type="fixed"/>
        <w:tblLook w:val="0400"/>
      </w:tblPr>
      <w:tblGrid>
        <w:gridCol w:w="2979"/>
        <w:gridCol w:w="2458"/>
        <w:tblGridChange w:id="0">
          <w:tblGrid>
            <w:gridCol w:w="2979"/>
            <w:gridCol w:w="245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D2">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numPr>
                <w:ilvl w:val="0"/>
                <w:numId w:val="4"/>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D4">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руб.</w:t>
            </w:r>
          </w:p>
        </w:tc>
      </w:tr>
    </w:tbl>
    <w:p w:rsidR="00000000" w:rsidDel="00000000" w:rsidP="00000000" w:rsidRDefault="00000000" w:rsidRPr="00000000" w14:paraId="000000D6">
      <w:pPr>
        <w:widowControl w:val="1"/>
        <w:ind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D7">
      <w:pPr>
        <w:ind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ind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A">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6.0" w:type="dxa"/>
        <w:jc w:val="center"/>
        <w:tblLayout w:type="fixed"/>
        <w:tblLook w:val="0400"/>
      </w:tblPr>
      <w:tblGrid>
        <w:gridCol w:w="3182"/>
        <w:gridCol w:w="2314"/>
        <w:tblGridChange w:id="0">
          <w:tblGrid>
            <w:gridCol w:w="3182"/>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6000 руб. </w:t>
            </w:r>
          </w:p>
          <w:p w:rsidR="00000000" w:rsidDel="00000000" w:rsidP="00000000" w:rsidRDefault="00000000" w:rsidRPr="00000000" w14:paraId="000000D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7000 руб. </w:t>
            </w:r>
          </w:p>
          <w:p w:rsidR="00000000" w:rsidDel="00000000" w:rsidP="00000000" w:rsidRDefault="00000000" w:rsidRPr="00000000" w14:paraId="000000E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r>
    </w:tbl>
    <w:p w:rsidR="00000000" w:rsidDel="00000000" w:rsidP="00000000" w:rsidRDefault="00000000" w:rsidRPr="00000000" w14:paraId="000000E1">
      <w:pPr>
        <w:ind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E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0.0" w:type="dxa"/>
        <w:jc w:val="center"/>
        <w:tblLayout w:type="fixed"/>
        <w:tblLook w:val="0400"/>
      </w:tblPr>
      <w:tblGrid>
        <w:gridCol w:w="2695"/>
        <w:gridCol w:w="2575"/>
        <w:tblGridChange w:id="0">
          <w:tblGrid>
            <w:gridCol w:w="2695"/>
            <w:gridCol w:w="2575"/>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5600 руб. </w:t>
            </w:r>
          </w:p>
          <w:p w:rsidR="00000000" w:rsidDel="00000000" w:rsidP="00000000" w:rsidRDefault="00000000" w:rsidRPr="00000000" w14:paraId="000000E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280)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6400 руб. </w:t>
            </w:r>
          </w:p>
          <w:p w:rsidR="00000000" w:rsidDel="00000000" w:rsidP="00000000" w:rsidRDefault="00000000" w:rsidRPr="00000000" w14:paraId="000000E9">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320)</w:t>
            </w:r>
          </w:p>
        </w:tc>
      </w:tr>
    </w:tbl>
    <w:p w:rsidR="00000000" w:rsidDel="00000000" w:rsidP="00000000" w:rsidRDefault="00000000" w:rsidRPr="00000000" w14:paraId="000000EA">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C">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5"/>
        <w:tblW w:w="4922.0" w:type="dxa"/>
        <w:jc w:val="center"/>
        <w:tblLayout w:type="fixed"/>
        <w:tblLook w:val="0400"/>
      </w:tblPr>
      <w:tblGrid>
        <w:gridCol w:w="2463"/>
        <w:gridCol w:w="2459"/>
        <w:tblGridChange w:id="0">
          <w:tblGrid>
            <w:gridCol w:w="2463"/>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F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F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F3">
      <w:pPr>
        <w:widowControl w:val="1"/>
        <w:spacing w:after="60" w:before="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ind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F7">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7.0" w:type="dxa"/>
        <w:jc w:val="left"/>
        <w:tblInd w:w="2139.0" w:type="dxa"/>
        <w:tblLayout w:type="fixed"/>
        <w:tblLook w:val="0400"/>
      </w:tblPr>
      <w:tblGrid>
        <w:gridCol w:w="2835"/>
        <w:gridCol w:w="2692"/>
        <w:tblGridChange w:id="0">
          <w:tblGrid>
            <w:gridCol w:w="2835"/>
            <w:gridCol w:w="2692"/>
          </w:tblGrid>
        </w:tblGridChange>
      </w:tblGrid>
      <w:tr>
        <w:trPr>
          <w:cantSplit w:val="0"/>
          <w:trHeight w:val="4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F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C">
      <w:pPr>
        <w:ind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FF">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7"/>
        <w:tblW w:w="8505.0" w:type="dxa"/>
        <w:jc w:val="left"/>
        <w:tblInd w:w="108.0" w:type="pct"/>
        <w:tblLayout w:type="fixed"/>
        <w:tblLook w:val="0400"/>
      </w:tblPr>
      <w:tblGrid>
        <w:gridCol w:w="2976"/>
        <w:gridCol w:w="2836"/>
        <w:gridCol w:w="2693"/>
        <w:tblGridChange w:id="0">
          <w:tblGrid>
            <w:gridCol w:w="2976"/>
            <w:gridCol w:w="2836"/>
            <w:gridCol w:w="2693"/>
          </w:tblGrid>
        </w:tblGridChange>
      </w:tblGrid>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00">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01">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2">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03">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04">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06">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10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9">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10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10">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2">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13">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4">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1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1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17">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1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1A">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1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1D">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widowControl w:val="1"/>
        <w:spacing w:after="200" w:before="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20">
      <w:pPr>
        <w:widowControl w:val="1"/>
        <w:spacing w:after="200" w:before="0" w:line="276" w:lineRule="auto"/>
        <w:jc w:val="center"/>
        <w:rPr>
          <w:rFonts w:ascii="Times New Roman" w:cs="Times New Roman" w:eastAsia="Times New Roman" w:hAnsi="Times New Roman"/>
        </w:rPr>
      </w:pPr>
      <w:bookmarkStart w:colFirst="0" w:colLast="0" w:name="_heading=h.gjdgxs" w:id="1"/>
      <w:bookmarkEnd w:id="1"/>
      <w:r w:rsidDel="00000000" w:rsidR="00000000" w:rsidRPr="00000000">
        <w:rPr>
          <w:rFonts w:ascii="Times New Roman" w:cs="Times New Roman" w:eastAsia="Times New Roman" w:hAnsi="Times New Roman"/>
          <w:rtl w:val="0"/>
        </w:rPr>
        <w:t xml:space="preserve">Дата с  31.12  по 08.01</w:t>
      </w:r>
    </w:p>
    <w:p w:rsidR="00000000" w:rsidDel="00000000" w:rsidP="00000000" w:rsidRDefault="00000000" w:rsidRPr="00000000" w14:paraId="00000121">
      <w:pPr>
        <w:widowControl w:val="1"/>
        <w:spacing w:after="200" w:before="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8"/>
        <w:tblW w:w="9038.0" w:type="dxa"/>
        <w:jc w:val="left"/>
        <w:tblInd w:w="0.0" w:type="dxa"/>
        <w:tblLayout w:type="fixed"/>
        <w:tblLook w:val="0400"/>
      </w:tblPr>
      <w:tblGrid>
        <w:gridCol w:w="5069"/>
        <w:gridCol w:w="3969"/>
        <w:tblGridChange w:id="0">
          <w:tblGrid>
            <w:gridCol w:w="5069"/>
            <w:gridCol w:w="3969"/>
          </w:tblGrid>
        </w:tblGridChange>
      </w:tblGrid>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2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2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2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2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tc>
      </w:tr>
    </w:tbl>
    <w:p w:rsidR="00000000" w:rsidDel="00000000" w:rsidP="00000000" w:rsidRDefault="00000000" w:rsidRPr="00000000" w14:paraId="00000126">
      <w:pPr>
        <w:widowControl w:val="1"/>
        <w:spacing w:after="200" w:before="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widowControl w:val="1"/>
        <w:spacing w:after="200" w:before="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9"/>
        <w:tblW w:w="9038.0" w:type="dxa"/>
        <w:jc w:val="left"/>
        <w:tblInd w:w="0.0" w:type="dxa"/>
        <w:tblLayout w:type="fixed"/>
        <w:tblLook w:val="0400"/>
      </w:tblPr>
      <w:tblGrid>
        <w:gridCol w:w="5069"/>
        <w:gridCol w:w="3969"/>
        <w:tblGridChange w:id="0">
          <w:tblGrid>
            <w:gridCol w:w="5069"/>
            <w:gridCol w:w="3969"/>
          </w:tblGrid>
        </w:tblGridChange>
      </w:tblGrid>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2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2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2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2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w:t>
            </w:r>
          </w:p>
        </w:tc>
      </w:tr>
    </w:tbl>
    <w:p w:rsidR="00000000" w:rsidDel="00000000" w:rsidP="00000000" w:rsidRDefault="00000000" w:rsidRPr="00000000" w14:paraId="0000012C">
      <w:pPr>
        <w:widowControl w:val="1"/>
        <w:spacing w:after="200" w:before="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widowControl w:val="1"/>
        <w:spacing w:after="200" w:before="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10"/>
        <w:tblW w:w="9038.0" w:type="dxa"/>
        <w:jc w:val="left"/>
        <w:tblInd w:w="0.0" w:type="dxa"/>
        <w:tblLayout w:type="fixed"/>
        <w:tblLook w:val="0400"/>
      </w:tblPr>
      <w:tblGrid>
        <w:gridCol w:w="5069"/>
        <w:gridCol w:w="3969"/>
        <w:tblGridChange w:id="0">
          <w:tblGrid>
            <w:gridCol w:w="5069"/>
            <w:gridCol w:w="3969"/>
          </w:tblGrid>
        </w:tblGridChange>
      </w:tblGrid>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2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2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3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3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r>
    </w:tbl>
    <w:p w:rsidR="00000000" w:rsidDel="00000000" w:rsidP="00000000" w:rsidRDefault="00000000" w:rsidRPr="00000000" w14:paraId="0000013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36">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7">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38">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9">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3A">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4">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4"/>
    <w:next w:val="Caption"/>
    <w:uiPriority w:val="9"/>
    <w:qFormat w:val="1"/>
    <w:pPr>
      <w:keepNext w:val="1"/>
      <w:keepLines w:val="1"/>
      <w:spacing w:after="120" w:before="480" w:line="100" w:lineRule="atLeast"/>
    </w:pPr>
    <w:rPr>
      <w:b w:val="1"/>
      <w:sz w:val="48"/>
      <w:szCs w:val="48"/>
    </w:rPr>
  </w:style>
  <w:style w:type="paragraph" w:styleId="2">
    <w:name w:val="Heading 2"/>
    <w:basedOn w:val="14"/>
    <w:next w:val="Caption"/>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4"/>
    <w:next w:val="Caption"/>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4"/>
    <w:next w:val="Caption"/>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4"/>
    <w:next w:val="Caption"/>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4"/>
    <w:next w:val="Caption"/>
    <w:uiPriority w:val="9"/>
    <w:semiHidden w:val="1"/>
    <w:unhideWhenUsed w:val="1"/>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name w:val="Заголовок"/>
    <w:basedOn w:val="Normal"/>
    <w:next w:val="Style12"/>
    <w:qFormat w:val="1"/>
    <w:pPr>
      <w:keepNext w:val="1"/>
      <w:spacing w:after="120" w:before="240"/>
    </w:pPr>
    <w:rPr>
      <w:rFonts w:ascii="Times New Roman" w:cs="Arial" w:eastAsia="Microsoft YaHei" w:hAnsi="Times New Roman"/>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ascii="Times New Roman" w:cs="Arial" w:hAnsi="Times New Roman"/>
      <w:i w:val="1"/>
      <w:iCs w:val="1"/>
      <w:sz w:val="24"/>
      <w:szCs w:val="24"/>
    </w:rPr>
  </w:style>
  <w:style w:type="paragraph" w:styleId="Style15">
    <w:name w:val="Указатель"/>
    <w:basedOn w:val="Normal"/>
    <w:qFormat w:val="1"/>
    <w:pPr>
      <w:suppressLineNumbers w:val="1"/>
    </w:pPr>
    <w:rPr>
      <w:rFonts w:ascii="Times New Roman" w:cs="Arial" w:hAnsi="Times New Roman"/>
    </w:rPr>
  </w:style>
  <w:style w:type="paragraph" w:styleId="Style16">
    <w:name w:val="Title"/>
    <w:basedOn w:val="LOnormal1"/>
    <w:next w:val="LOnormal1"/>
    <w:uiPriority w:val="10"/>
    <w:qFormat w:val="1"/>
    <w:pPr>
      <w:keepNext w:val="1"/>
      <w:keepLines w:val="1"/>
      <w:spacing w:after="120" w:before="480"/>
    </w:pPr>
    <w:rPr>
      <w:b w:val="1"/>
      <w:sz w:val="72"/>
      <w:szCs w:val="72"/>
    </w:rPr>
  </w:style>
  <w:style w:type="paragraph" w:styleId="12" w:customStyle="1">
    <w:name w:val="Заголовок1"/>
    <w:basedOn w:val="Normal"/>
    <w:next w:val="Caption"/>
    <w:qFormat w:val="1"/>
    <w:pPr>
      <w:keepNext w:val="1"/>
      <w:spacing w:after="120" w:before="240"/>
    </w:pPr>
    <w:rPr>
      <w:rFonts w:ascii="Arial" w:cs="Arial" w:eastAsia="Microsoft YaHei" w:hAnsi="Arial"/>
      <w:sz w:val="28"/>
      <w:szCs w:val="28"/>
    </w:rPr>
  </w:style>
  <w:style w:type="paragraph" w:styleId="Caption">
    <w:name w:val="caption"/>
    <w:basedOn w:val="14"/>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21" w:customStyle="1">
    <w:name w:val="Указатель2"/>
    <w:basedOn w:val="Normal"/>
    <w:next w:val="13"/>
    <w:qFormat w:val="1"/>
    <w:pPr>
      <w:suppressLineNumbers w:val="1"/>
    </w:pPr>
    <w:rPr>
      <w:rFonts w:cs="Arial Unicode MS"/>
    </w:rPr>
  </w:style>
  <w:style w:type="paragraph" w:styleId="LOnormal" w:customStyle="1">
    <w:name w:val="LO-normal"/>
    <w:next w:val="14"/>
    <w:qFormat w:val="1"/>
    <w:pPr>
      <w:widowControl w:val="1"/>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3" w:customStyle="1">
    <w:name w:val="Название1"/>
    <w:basedOn w:val="Normal"/>
    <w:next w:val="Style17"/>
    <w:qFormat w:val="1"/>
    <w:pPr>
      <w:suppressLineNumbers w:val="1"/>
      <w:spacing w:after="120" w:before="120"/>
    </w:pPr>
    <w:rPr>
      <w:rFonts w:cs="Arial"/>
      <w:i w:val="1"/>
      <w:iCs w:val="1"/>
      <w:sz w:val="24"/>
      <w:szCs w:val="24"/>
    </w:rPr>
  </w:style>
  <w:style w:type="paragraph" w:styleId="14" w:customStyle="1">
    <w:name w:val="Указатель1"/>
    <w:basedOn w:val="Normal"/>
    <w:next w:val="ListParagraph"/>
    <w:qFormat w:val="1"/>
    <w:pPr>
      <w:suppressLineNumbers w:val="1"/>
    </w:pPr>
    <w:rPr>
      <w:rFonts w:cs="Arial"/>
    </w:rPr>
  </w:style>
  <w:style w:type="paragraph" w:styleId="Style17">
    <w:name w:val="Subtitle"/>
    <w:basedOn w:val="Normal"/>
    <w:next w:val="Normal"/>
    <w:uiPriority w:val="11"/>
    <w:qFormat w:val="1"/>
    <w:pPr>
      <w:keepNext w:val="1"/>
      <w:keepLines w:val="1"/>
      <w:widowControl w:val="1"/>
      <w:pBdr/>
      <w:spacing w:after="80" w:before="360" w:line="240" w:lineRule="auto"/>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2tSbwS/W1W9qIkKdcaoUbaMm1A==">AMUW2mXU5F3ix3KEo0MzarF660pkO++9O7Q8+XqNTC8ZzBvD6Y/eC7rTW04UQjEgEjxlW19ELbczmktGzXFrbucimyZosDHnDHUvXz7ZhYDKYCvIRr7J23kvmjTuaS5XCJiXBGq+Nu5s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