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10" w:rsidRDefault="002931FA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01.07</w:t>
      </w:r>
      <w:r>
        <w:t>.2022 г.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Внимательно ознакомьтесь с текстом публичной оферты, и, если вы не согласны с каким-</w:t>
      </w:r>
      <w:r>
        <w:rPr>
          <w:sz w:val="24"/>
          <w:szCs w:val="24"/>
          <w:highlight w:val="white"/>
        </w:rPr>
        <w:t>либо пунктом оферты, Вам предлагается отказаться от использования Услуг, предоставляемых ИП Родионова Наталья Викторовна.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Настоящий публичный договор </w:t>
      </w:r>
      <w:r>
        <w:rPr>
          <w:sz w:val="24"/>
          <w:szCs w:val="24"/>
          <w:highlight w:val="white"/>
        </w:rPr>
        <w:t>(далее – «Оферта» или «Договор») представляет собой официальное предложение ИП Родионова Наталья Викторовн</w:t>
      </w:r>
      <w:r>
        <w:rPr>
          <w:sz w:val="24"/>
          <w:szCs w:val="24"/>
          <w:highlight w:val="white"/>
        </w:rPr>
        <w:t>а (ОГРН 304027305200060, ИНН 026101211202)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(далее именуемы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п.2 ст. 437 ГК РФ данный документ </w:t>
      </w:r>
      <w:r>
        <w:rPr>
          <w:color w:val="000000"/>
          <w:sz w:val="23"/>
          <w:szCs w:val="23"/>
        </w:rPr>
        <w:t>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ч.1 ст.438 ГК РФ Акцепт должен быть полным и безоговорочным.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</w:t>
      </w:r>
      <w:r>
        <w:rPr>
          <w:color w:val="000000"/>
          <w:sz w:val="23"/>
          <w:szCs w:val="23"/>
        </w:rPr>
        <w:t>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</w:t>
      </w:r>
      <w:r>
        <w:rPr>
          <w:color w:val="000000"/>
          <w:sz w:val="23"/>
          <w:szCs w:val="23"/>
        </w:rPr>
        <w:t>тся также и к терминам и определениям во множественном числе.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настоящей офертой.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7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</w:t>
      </w:r>
      <w:r>
        <w:rPr>
          <w:sz w:val="23"/>
          <w:szCs w:val="23"/>
        </w:rPr>
        <w:t>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</w:t>
      </w:r>
      <w:r>
        <w:rPr>
          <w:sz w:val="23"/>
          <w:szCs w:val="23"/>
        </w:rPr>
        <w:t>ый на Интернет-ресурсе по адресу www.http://nanana4ac.ru и приведенный в Приложении № 1 к настоящей оферте.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</w:t>
      </w:r>
      <w:r>
        <w:rPr>
          <w:sz w:val="23"/>
          <w:szCs w:val="23"/>
        </w:rPr>
        <w:t>ие услуги с 8.00 до 20.59.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>
        <w:rPr>
          <w:color w:val="000000"/>
          <w:sz w:val="23"/>
          <w:szCs w:val="23"/>
        </w:rPr>
        <w:t>зи с отсутствием соответствующей возможности.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>
        <w:rPr>
          <w:color w:val="000000"/>
          <w:sz w:val="23"/>
          <w:szCs w:val="23"/>
        </w:rPr>
        <w:t>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</w:t>
      </w:r>
      <w:r>
        <w:rPr>
          <w:color w:val="000000"/>
          <w:sz w:val="23"/>
          <w:szCs w:val="23"/>
        </w:rPr>
        <w:t>ам указанным Исполнителем.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</w:t>
      </w:r>
      <w:r>
        <w:rPr>
          <w:color w:val="000000"/>
          <w:sz w:val="23"/>
          <w:szCs w:val="23"/>
        </w:rPr>
        <w:t>нком.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город проживания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>
        <w:rPr>
          <w:color w:val="000000"/>
          <w:sz w:val="23"/>
          <w:szCs w:val="23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>
        <w:rPr>
          <w:color w:val="000000"/>
          <w:sz w:val="23"/>
          <w:szCs w:val="23"/>
        </w:rPr>
        <w:t>е.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</w:t>
      </w:r>
      <w:r>
        <w:rPr>
          <w:color w:val="000000"/>
          <w:sz w:val="23"/>
          <w:szCs w:val="23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>
        <w:rPr>
          <w:color w:val="000000"/>
          <w:sz w:val="23"/>
          <w:szCs w:val="23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>
        <w:rPr>
          <w:color w:val="000000"/>
          <w:sz w:val="23"/>
          <w:szCs w:val="23"/>
        </w:rPr>
        <w:t>ьнейших действий.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E61B10" w:rsidRDefault="002931FA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4.11.9 организация досуга ребенка;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</w:t>
      </w:r>
      <w:r>
        <w:rPr>
          <w:sz w:val="24"/>
          <w:szCs w:val="24"/>
        </w:rPr>
        <w:t>м;</w:t>
      </w:r>
    </w:p>
    <w:p w:rsidR="00E61B10" w:rsidRDefault="002931FA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E61B10" w:rsidRDefault="002931FA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</w:t>
      </w:r>
      <w:r>
        <w:rPr>
          <w:color w:val="000000"/>
          <w:sz w:val="23"/>
          <w:szCs w:val="23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</w:t>
      </w:r>
      <w:r>
        <w:rPr>
          <w:color w:val="000000"/>
          <w:sz w:val="23"/>
          <w:szCs w:val="23"/>
        </w:rPr>
        <w:t xml:space="preserve"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</w:t>
      </w:r>
      <w:r>
        <w:rPr>
          <w:color w:val="000000"/>
          <w:sz w:val="23"/>
          <w:szCs w:val="23"/>
        </w:rPr>
        <w:t>я Заказчиком.  При уходе за ребенком онлайн услуга, предусмотренная настоящим пунктом, не может быть предоставлена.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>
        <w:rPr>
          <w:color w:val="000000"/>
          <w:sz w:val="23"/>
          <w:szCs w:val="23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</w:t>
      </w:r>
      <w:r>
        <w:rPr>
          <w:color w:val="000000"/>
          <w:sz w:val="23"/>
          <w:szCs w:val="23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>
        <w:rPr>
          <w:color w:val="000000"/>
          <w:sz w:val="23"/>
          <w:szCs w:val="23"/>
        </w:rPr>
        <w:t>х Заказов Заказчика.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застраховать свою деятельность по оказанию услуг по уходу за детьми, осуществляемую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</w:t>
      </w:r>
      <w:r>
        <w:rPr>
          <w:color w:val="000000"/>
          <w:sz w:val="23"/>
          <w:szCs w:val="23"/>
        </w:rPr>
        <w:t>го случая на условиях, установленных данным страховым полисом.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</w:t>
      </w:r>
      <w:proofErr w:type="spellEnd"/>
      <w:r>
        <w:rPr>
          <w:color w:val="000000"/>
          <w:sz w:val="23"/>
          <w:szCs w:val="23"/>
        </w:rPr>
        <w:t>-няня» Заказчик дополнительно предоставляет сотруднику Исполнителя: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</w:t>
      </w:r>
      <w:r>
        <w:rPr>
          <w:color w:val="000000"/>
          <w:sz w:val="23"/>
          <w:szCs w:val="23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иметь вредных привычек: курение, распитие спиртных, в том числе легких </w:t>
      </w:r>
      <w:r>
        <w:rPr>
          <w:color w:val="000000"/>
          <w:sz w:val="23"/>
          <w:szCs w:val="23"/>
        </w:rPr>
        <w:lastRenderedPageBreak/>
        <w:t>алкогольных напитков;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</w:t>
      </w:r>
      <w:r>
        <w:rPr>
          <w:color w:val="000000"/>
          <w:sz w:val="23"/>
          <w:szCs w:val="23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</w:t>
      </w:r>
      <w:proofErr w:type="spellStart"/>
      <w:r>
        <w:rPr>
          <w:color w:val="000000"/>
          <w:sz w:val="23"/>
          <w:szCs w:val="23"/>
        </w:rPr>
        <w:t>т.ч</w:t>
      </w:r>
      <w:proofErr w:type="spellEnd"/>
      <w:r>
        <w:rPr>
          <w:color w:val="000000"/>
          <w:sz w:val="23"/>
          <w:szCs w:val="23"/>
        </w:rPr>
        <w:t>. во врем</w:t>
      </w:r>
      <w:r>
        <w:rPr>
          <w:color w:val="000000"/>
          <w:sz w:val="23"/>
          <w:szCs w:val="23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</w:t>
      </w:r>
      <w:r>
        <w:rPr>
          <w:color w:val="000000"/>
          <w:sz w:val="23"/>
          <w:szCs w:val="23"/>
        </w:rPr>
        <w:t>етьим лицам и вернуть ключи от квартиры по первому требованию Заказчика;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</w:t>
      </w:r>
      <w:r>
        <w:rPr>
          <w:color w:val="000000"/>
          <w:sz w:val="23"/>
          <w:szCs w:val="23"/>
        </w:rPr>
        <w:t>я услуги не менее чем за 24 часа до начала ее оказания.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>
        <w:rPr>
          <w:color w:val="000000"/>
          <w:sz w:val="23"/>
          <w:szCs w:val="23"/>
        </w:rPr>
        <w:t>аказчика и иных лиц, присутствующих в месте оказания Услуги;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</w:t>
      </w:r>
      <w:r>
        <w:rPr>
          <w:color w:val="000000"/>
          <w:sz w:val="23"/>
          <w:szCs w:val="23"/>
        </w:rPr>
        <w:lastRenderedPageBreak/>
        <w:t>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E61B10" w:rsidRDefault="002931FA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Срок исполнения Заказа зависит от Заказчика и времени, необходимого на обработку Заказа. Срок исполнения Заказа в исключите</w:t>
      </w:r>
      <w:r>
        <w:rPr>
          <w:color w:val="000000"/>
          <w:sz w:val="23"/>
          <w:szCs w:val="23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3"/>
          <w:szCs w:val="23"/>
        </w:rPr>
        <w:t xml:space="preserve"> несет.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Письменным требов</w:t>
      </w:r>
      <w:r>
        <w:rPr>
          <w:color w:val="000000"/>
          <w:sz w:val="23"/>
          <w:szCs w:val="23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3"/>
          <w:szCs w:val="23"/>
        </w:rPr>
        <w:t>а.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</w:t>
      </w:r>
      <w:r>
        <w:rPr>
          <w:color w:val="000000"/>
          <w:sz w:val="23"/>
          <w:szCs w:val="23"/>
          <w:highlight w:val="white"/>
        </w:rPr>
        <w:t xml:space="preserve">ии заказа на тариф «День» (с 08-00 до 20-59), и в пределах транспортной развязки г. </w:t>
      </w:r>
      <w:r>
        <w:rPr>
          <w:sz w:val="23"/>
          <w:szCs w:val="23"/>
          <w:highlight w:val="white"/>
        </w:rPr>
        <w:t>Уфа</w:t>
      </w:r>
      <w:r>
        <w:rPr>
          <w:color w:val="000000"/>
          <w:sz w:val="23"/>
          <w:szCs w:val="23"/>
          <w:highlight w:val="white"/>
        </w:rPr>
        <w:t>, в случае если расстояние от адреса Заказчика, указанного в его заявке до ближайшей остановки общественного транспорта, составляет более 700 ме</w:t>
      </w:r>
      <w:r>
        <w:rPr>
          <w:color w:val="000000"/>
          <w:sz w:val="23"/>
          <w:szCs w:val="23"/>
          <w:highlight w:val="white"/>
        </w:rPr>
        <w:t xml:space="preserve">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</w:t>
      </w:r>
      <w:r>
        <w:rPr>
          <w:sz w:val="23"/>
          <w:szCs w:val="23"/>
          <w:highlight w:val="white"/>
        </w:rPr>
        <w:t>Уфа</w:t>
      </w:r>
      <w:r>
        <w:rPr>
          <w:color w:val="000000"/>
          <w:sz w:val="23"/>
          <w:szCs w:val="23"/>
          <w:highlight w:val="white"/>
        </w:rPr>
        <w:t xml:space="preserve"> (пригород) дополнительно оплачивается такси.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 на тариф «Ночь» (с 21:00 до 07:</w:t>
      </w:r>
      <w:r>
        <w:rPr>
          <w:color w:val="000000"/>
          <w:sz w:val="23"/>
          <w:szCs w:val="23"/>
        </w:rPr>
        <w:t>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уходе за ребенком онлайн тран</w:t>
      </w:r>
      <w:r>
        <w:rPr>
          <w:color w:val="000000"/>
          <w:sz w:val="23"/>
          <w:szCs w:val="23"/>
        </w:rPr>
        <w:t>спорт, предусмотренный пунктами 8.1. и 8.2. настоящей Оферты, Заказчиком не оплачивается.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«Ночь», абонемент «от 3 часов», «от 5 часов», «Путешествие», формат «Игровая зона») по </w:t>
      </w:r>
      <w:r>
        <w:rPr>
          <w:color w:val="000000"/>
          <w:sz w:val="23"/>
          <w:szCs w:val="23"/>
        </w:rPr>
        <w:lastRenderedPageBreak/>
        <w:t>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E61B10" w:rsidRDefault="002931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E61B10" w:rsidRDefault="002931FA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</w:t>
      </w:r>
    </w:p>
    <w:p w:rsidR="00E61B10" w:rsidRDefault="002931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E61B10" w:rsidRDefault="00E61B10">
      <w:pPr>
        <w:widowControl w:val="0"/>
        <w:spacing w:before="120" w:after="120"/>
        <w:jc w:val="both"/>
        <w:rPr>
          <w:sz w:val="23"/>
          <w:szCs w:val="23"/>
          <w:highlight w:val="cyan"/>
        </w:rPr>
      </w:pPr>
    </w:p>
    <w:p w:rsidR="00E61B10" w:rsidRDefault="002931FA">
      <w:pPr>
        <w:widowControl w:val="0"/>
        <w:spacing w:after="0"/>
        <w:ind w:left="142"/>
        <w:jc w:val="both"/>
        <w:rPr>
          <w:sz w:val="24"/>
          <w:szCs w:val="24"/>
          <w:highlight w:val="cyan"/>
        </w:rPr>
        <w:sectPr w:rsidR="00E61B10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Исполнитель: ИП Родионова Наталья Викторовна , Юридический адрес: 450075,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Пр.Октября</w:t>
      </w:r>
      <w:proofErr w:type="spellEnd"/>
      <w:r>
        <w:rPr>
          <w:sz w:val="24"/>
          <w:szCs w:val="24"/>
        </w:rPr>
        <w:t xml:space="preserve"> 105/5-26, Почтовый адрес: 450075,г.Уфа, </w:t>
      </w:r>
      <w:proofErr w:type="spellStart"/>
      <w:r>
        <w:rPr>
          <w:sz w:val="24"/>
          <w:szCs w:val="24"/>
        </w:rPr>
        <w:t>Пр.Октября</w:t>
      </w:r>
      <w:proofErr w:type="spellEnd"/>
      <w:r>
        <w:rPr>
          <w:sz w:val="24"/>
          <w:szCs w:val="24"/>
        </w:rPr>
        <w:t xml:space="preserve"> 105/5-26 ,ОГРН 304027305200060, </w:t>
      </w:r>
      <w:bookmarkStart w:id="0" w:name="bookmark=kix.9bu3sqpkbq6k" w:colFirst="0" w:colLast="0"/>
      <w:bookmarkEnd w:id="0"/>
      <w:r>
        <w:rPr>
          <w:sz w:val="24"/>
          <w:szCs w:val="24"/>
        </w:rPr>
        <w:t xml:space="preserve"> ИНН 026101211202 Банковские реквизиты: р/с 40802810600001804938  , АО "ТИНЬКОФФ-</w:t>
      </w:r>
      <w:bookmarkStart w:id="1" w:name="bookmark=kix.o73fxr3jrc5c" w:colFirst="0" w:colLast="0"/>
      <w:bookmarkEnd w:id="1"/>
      <w:r>
        <w:rPr>
          <w:sz w:val="24"/>
          <w:szCs w:val="24"/>
        </w:rPr>
        <w:t>БАНК" , БИК 044525974</w:t>
      </w:r>
      <w:bookmarkStart w:id="2" w:name="bookmark=kix.fuqy2nwu67js" w:colFirst="0" w:colLast="0"/>
      <w:bookmarkEnd w:id="2"/>
      <w:r>
        <w:rPr>
          <w:sz w:val="24"/>
          <w:szCs w:val="24"/>
        </w:rPr>
        <w:t>, к/с 30101810145250000974, Тел. 8-987-48-42-859</w:t>
      </w:r>
    </w:p>
    <w:p w:rsidR="00E61B10" w:rsidRDefault="002931FA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E61B10" w:rsidRDefault="002931FA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E61B10" w:rsidRDefault="002931FA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</w:t>
            </w:r>
            <w:r>
              <w:rPr>
                <w:color w:val="FFFFFF"/>
                <w:sz w:val="20"/>
                <w:szCs w:val="20"/>
              </w:rPr>
              <w:t>й</w:t>
            </w:r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E61B10" w:rsidRDefault="002931FA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7 4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9 4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11 4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E61B10" w:rsidRDefault="002931FA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18 0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22 0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</w:t>
            </w:r>
            <w:proofErr w:type="gramStart"/>
            <w:r>
              <w:rPr>
                <w:b/>
                <w:i/>
              </w:rPr>
              <w:t>Д-</w:t>
            </w:r>
            <w:proofErr w:type="gramEnd"/>
            <w:r>
              <w:rPr>
                <w:b/>
                <w:i/>
              </w:rPr>
              <w:t xml:space="preserve"> НЯНЯ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E61B10" w:rsidRDefault="002931FA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:rsidR="00E61B10" w:rsidRDefault="002931FA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:rsidR="00E61B10" w:rsidRDefault="002931FA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p w:rsidR="00E61B10" w:rsidRDefault="002931FA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E61B10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E61B10" w:rsidRDefault="002931FA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</w:t>
            </w:r>
            <w:r>
              <w:rPr>
                <w:sz w:val="24"/>
                <w:szCs w:val="24"/>
              </w:rPr>
              <w:t>00 рублей</w:t>
            </w:r>
          </w:p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*(5 детей – 2 няни) В случае если количество детей превышает 5 человек – доплата 550 </w:t>
            </w:r>
            <w:bookmarkStart w:id="4" w:name="_GoBack"/>
            <w:bookmarkEnd w:id="4"/>
            <w:r>
              <w:rPr>
                <w:i/>
                <w:sz w:val="20"/>
                <w:szCs w:val="20"/>
              </w:rPr>
              <w:t>рублей/человек.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E61B10" w:rsidRDefault="002931F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5" w:name="_heading=h.5mcnq94p8e01" w:colFirst="0" w:colLast="0"/>
            <w:bookmarkEnd w:id="5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E61B10" w:rsidRDefault="00293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6" w:name="_heading=h.ix8ig4xw29ox" w:colFirst="0" w:colLast="0"/>
            <w:bookmarkEnd w:id="6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:rsidR="00E61B10" w:rsidRDefault="002931FA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от 20 минут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E61B10" w:rsidRDefault="002931F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E61B10" w:rsidRDefault="002931FA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E61B10" w:rsidRDefault="002931FA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E61B10" w:rsidRDefault="00E61B10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61B10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E61B10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E61B10" w:rsidRDefault="002931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B10" w:rsidRDefault="002931F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E61B10" w:rsidRDefault="00E61B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E61B10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CE2"/>
    <w:multiLevelType w:val="multilevel"/>
    <w:tmpl w:val="98C8B94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1B10"/>
    <w:rsid w:val="002931FA"/>
    <w:rsid w:val="00E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nana4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SuAqobvBU/ohcYa9Vt+uVNxPw==">AMUW2mX63GNYPoBoTguHvvupp2nAsJMo8i08tCgby10+Mep3L448N1hMKYiYgIMK2Jius5CFnjF6v6/TlYD+RR9qGb79nYuCjQIQ/JtUDT7eKO4Q1fdfxI98shg/QkJn2pOOlOiqBqMIH68wtMw2ZYViRmanAsNorSxh3VPC971IeY7hCR7fzZ1KHw1zAXs+qvS1a14sTIGXfF+xlmLFMy5XEswiBUlgtsNcgkibZmYJtyGq7Lv4Lk0NLl0pmXhnTRNhkwW/iodn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3396</Words>
  <Characters>19362</Characters>
  <Application>Microsoft Office Word</Application>
  <DocSecurity>0</DocSecurity>
  <Lines>161</Lines>
  <Paragraphs>45</Paragraphs>
  <ScaleCrop>false</ScaleCrop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Valery</cp:lastModifiedBy>
  <cp:revision>3</cp:revision>
  <dcterms:created xsi:type="dcterms:W3CDTF">2022-01-19T15:11:00Z</dcterms:created>
  <dcterms:modified xsi:type="dcterms:W3CDTF">2022-07-03T15:01:00Z</dcterms:modified>
</cp:coreProperties>
</file>