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 (ОГРНИП 320144700030665, ИНН 140300027210)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 (ОГРНИП 320144700030665, ИНН 140300027210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Тимофеева Айталина Иннокентьевна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677021 Республика Саха (Якутия) г. Якутск ул. Автодорожная 42/2 кв.28</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Якутск,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Якутск   (пригород)  дополнительно оплачивается такси.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на тариф </w:t>
      </w:r>
      <w:r w:rsidDel="00000000" w:rsidR="00000000" w:rsidRPr="00000000">
        <w:rPr>
          <w:rFonts w:ascii="Times New Roman" w:cs="Times New Roman" w:eastAsia="Times New Roman" w:hAnsi="Times New Roman"/>
          <w:sz w:val="28"/>
          <w:szCs w:val="28"/>
          <w:rtl w:val="0"/>
        </w:rPr>
        <w:t xml:space="preserve">«День»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6">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30"/>
          <w:szCs w:val="30"/>
          <w:rtl w:val="0"/>
        </w:rPr>
        <w:t xml:space="preserve">ИП Тимофеева Айталина Иннокентьевна. Юридический адрес: 677021 Республика Саха (Якутия) город Якутск ул. Автодорожная 42/2 кв.28</w:t>
        <w:br w:type="textWrapping"/>
        <w:t xml:space="preserve">Почтовый адрес: 677021 Республика Саха (Якутия) город Якутск ул. Автодорожная 42/2 кв.28   ИНН 140300027210  ОГРНИП 320144700030665  </w:t>
      </w:r>
      <w:r w:rsidDel="00000000" w:rsidR="00000000" w:rsidRPr="00000000">
        <w:rPr>
          <w:rFonts w:ascii="Times New Roman" w:cs="Times New Roman" w:eastAsia="Times New Roman" w:hAnsi="Times New Roman"/>
          <w:sz w:val="28"/>
          <w:szCs w:val="28"/>
          <w:rtl w:val="0"/>
        </w:rPr>
        <w:t xml:space="preserve">Банковские реквизиты: р/с   </w:t>
      </w:r>
    </w:p>
    <w:p w:rsidR="00000000" w:rsidDel="00000000" w:rsidP="00000000" w:rsidRDefault="00000000" w:rsidRPr="00000000" w14:paraId="000000AD">
      <w:pPr>
        <w:shd w:fill="ffffff" w:val="clear"/>
        <w:ind w:left="340" w:firstLine="86.0000000000000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0"/>
          <w:szCs w:val="30"/>
          <w:rtl w:val="0"/>
        </w:rPr>
        <w:t xml:space="preserve">тел. 89143007086 </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4">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5">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6">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9">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A">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B">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1"/>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BF">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2">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5">
            <w:pPr>
              <w:widowControl w:val="1"/>
              <w:numPr>
                <w:ilvl w:val="0"/>
                <w:numId w:val="2"/>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7">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B">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D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D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8000 руб. </w:t>
            </w:r>
          </w:p>
          <w:p w:rsidR="00000000" w:rsidDel="00000000" w:rsidP="00000000" w:rsidRDefault="00000000" w:rsidRPr="00000000" w14:paraId="000000D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400)</w:t>
            </w:r>
          </w:p>
        </w:tc>
      </w:tr>
    </w:tbl>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D">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4">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0">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A">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3">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5">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8">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B">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17">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D">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2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7">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9">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A">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42BcgBVN3Bfk2E5qJdFBOBLHQ==">AMUW2mXlv2XwzuvgNbURxfWuwW6n69ygAukaZ89rJHKc8HrAJSgmOo0iaUfLah5sEe6bZOvQjoPiiQGsy6GjzpLEGqKd/Q81Kfw6MjI6UcyKj8+ufgPs1RjXZKrIbJ77wv8s09KXFM7i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